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8934" w14:textId="77777777" w:rsidR="003231A6" w:rsidRDefault="003231A6">
      <w:pPr>
        <w:pBdr>
          <w:top w:val="nil"/>
          <w:left w:val="nil"/>
          <w:bottom w:val="nil"/>
          <w:right w:val="nil"/>
          <w:between w:val="nil"/>
        </w:pBdr>
        <w:spacing w:line="276" w:lineRule="auto"/>
        <w:jc w:val="left"/>
      </w:pPr>
    </w:p>
    <w:p w14:paraId="35808D06" w14:textId="77777777" w:rsidR="003231A6" w:rsidRDefault="00000000">
      <w:pPr>
        <w:widowControl/>
        <w:pBdr>
          <w:top w:val="nil"/>
          <w:left w:val="nil"/>
          <w:bottom w:val="nil"/>
          <w:right w:val="nil"/>
          <w:between w:val="nil"/>
        </w:pBdr>
        <w:spacing w:line="280" w:lineRule="auto"/>
        <w:jc w:val="center"/>
        <w:rPr>
          <w:b/>
          <w:sz w:val="28"/>
          <w:szCs w:val="28"/>
        </w:rPr>
      </w:pPr>
      <w:r>
        <w:rPr>
          <w:b/>
          <w:sz w:val="28"/>
          <w:szCs w:val="28"/>
        </w:rPr>
        <w:t>Calibrating the global network of gravitational wave observatories via laser power calibration at NIST and PTB.</w:t>
      </w:r>
    </w:p>
    <w:p w14:paraId="1FAEDFD8" w14:textId="3FE2FC07" w:rsidR="003231A6" w:rsidRDefault="00000000">
      <w:pPr>
        <w:widowControl/>
        <w:pBdr>
          <w:top w:val="nil"/>
          <w:left w:val="nil"/>
          <w:bottom w:val="nil"/>
          <w:right w:val="nil"/>
          <w:between w:val="nil"/>
        </w:pBdr>
        <w:spacing w:before="120" w:after="120" w:line="280" w:lineRule="auto"/>
        <w:jc w:val="center"/>
        <w:rPr>
          <w:color w:val="000000"/>
          <w:sz w:val="22"/>
          <w:szCs w:val="22"/>
        </w:rPr>
      </w:pPr>
      <w:r>
        <w:rPr>
          <w:sz w:val="22"/>
          <w:szCs w:val="22"/>
        </w:rPr>
        <w:t>D. Bhattacharjee</w:t>
      </w:r>
      <w:r w:rsidR="008F4E6F">
        <w:rPr>
          <w:color w:val="000000"/>
          <w:sz w:val="22"/>
          <w:szCs w:val="22"/>
          <w:vertAlign w:val="superscript"/>
        </w:rPr>
        <w:t>1</w:t>
      </w:r>
      <w:r>
        <w:rPr>
          <w:color w:val="000000"/>
          <w:sz w:val="22"/>
          <w:szCs w:val="22"/>
        </w:rPr>
        <w:t xml:space="preserve">, </w:t>
      </w:r>
      <w:r>
        <w:rPr>
          <w:sz w:val="22"/>
          <w:szCs w:val="22"/>
        </w:rPr>
        <w:t>R. L. Savage</w:t>
      </w:r>
      <w:r w:rsidR="008F4E6F">
        <w:rPr>
          <w:color w:val="000000"/>
          <w:sz w:val="22"/>
          <w:szCs w:val="22"/>
          <w:vertAlign w:val="superscript"/>
        </w:rPr>
        <w:t>2</w:t>
      </w:r>
      <w:r>
        <w:rPr>
          <w:color w:val="000000"/>
          <w:sz w:val="22"/>
          <w:szCs w:val="22"/>
        </w:rPr>
        <w:t>, S.</w:t>
      </w:r>
      <w:r>
        <w:rPr>
          <w:sz w:val="22"/>
          <w:szCs w:val="22"/>
        </w:rPr>
        <w:t xml:space="preserve"> Karki</w:t>
      </w:r>
      <w:r w:rsidR="008F4E6F">
        <w:rPr>
          <w:sz w:val="22"/>
          <w:szCs w:val="22"/>
          <w:vertAlign w:val="superscript"/>
        </w:rPr>
        <w:t>3</w:t>
      </w:r>
      <w:r>
        <w:rPr>
          <w:sz w:val="22"/>
          <w:szCs w:val="22"/>
        </w:rPr>
        <w:t>,</w:t>
      </w:r>
      <w:r>
        <w:rPr>
          <w:color w:val="000000"/>
          <w:sz w:val="22"/>
          <w:szCs w:val="22"/>
        </w:rPr>
        <w:t xml:space="preserve"> A. Sanchez</w:t>
      </w:r>
      <w:r w:rsidR="006C104E">
        <w:rPr>
          <w:sz w:val="22"/>
          <w:szCs w:val="22"/>
          <w:vertAlign w:val="superscript"/>
        </w:rPr>
        <w:t>2</w:t>
      </w:r>
      <w:r>
        <w:rPr>
          <w:color w:val="000000"/>
          <w:sz w:val="22"/>
          <w:szCs w:val="22"/>
        </w:rPr>
        <w:t xml:space="preserve">, </w:t>
      </w:r>
      <w:r>
        <w:rPr>
          <w:color w:val="222222"/>
          <w:sz w:val="22"/>
          <w:szCs w:val="22"/>
        </w:rPr>
        <w:t>F. Llamas</w:t>
      </w:r>
      <w:r w:rsidR="008F4E6F">
        <w:rPr>
          <w:sz w:val="22"/>
          <w:szCs w:val="22"/>
          <w:vertAlign w:val="superscript"/>
        </w:rPr>
        <w:t>4</w:t>
      </w:r>
      <w:r>
        <w:rPr>
          <w:sz w:val="22"/>
          <w:szCs w:val="22"/>
        </w:rPr>
        <w:t xml:space="preserve">, </w:t>
      </w:r>
      <w:r>
        <w:rPr>
          <w:color w:val="000000"/>
          <w:sz w:val="22"/>
          <w:szCs w:val="22"/>
        </w:rPr>
        <w:t>J. Betzwieser</w:t>
      </w:r>
      <w:r w:rsidR="008F4E6F">
        <w:rPr>
          <w:sz w:val="22"/>
          <w:szCs w:val="22"/>
          <w:vertAlign w:val="superscript"/>
        </w:rPr>
        <w:t>5</w:t>
      </w:r>
      <w:r>
        <w:rPr>
          <w:sz w:val="22"/>
          <w:szCs w:val="22"/>
        </w:rPr>
        <w:t>, J. Lehman</w:t>
      </w:r>
      <w:r w:rsidR="008F4E6F">
        <w:rPr>
          <w:sz w:val="22"/>
          <w:szCs w:val="22"/>
          <w:vertAlign w:val="superscript"/>
        </w:rPr>
        <w:t>6</w:t>
      </w:r>
      <w:r>
        <w:rPr>
          <w:sz w:val="22"/>
          <w:szCs w:val="22"/>
        </w:rPr>
        <w:t>, M. Spidell</w:t>
      </w:r>
      <w:r w:rsidR="008F4E6F">
        <w:rPr>
          <w:sz w:val="22"/>
          <w:szCs w:val="22"/>
          <w:vertAlign w:val="superscript"/>
        </w:rPr>
        <w:t>6</w:t>
      </w:r>
      <w:r>
        <w:rPr>
          <w:sz w:val="22"/>
          <w:szCs w:val="22"/>
        </w:rPr>
        <w:t>, M. Stephens</w:t>
      </w:r>
      <w:r w:rsidR="008F4E6F">
        <w:rPr>
          <w:sz w:val="22"/>
          <w:szCs w:val="22"/>
          <w:vertAlign w:val="superscript"/>
        </w:rPr>
        <w:t>6</w:t>
      </w:r>
      <w:r>
        <w:rPr>
          <w:sz w:val="22"/>
          <w:szCs w:val="22"/>
        </w:rPr>
        <w:t>, S. Kück</w:t>
      </w:r>
      <w:r w:rsidR="008F4E6F">
        <w:rPr>
          <w:sz w:val="22"/>
          <w:szCs w:val="22"/>
          <w:vertAlign w:val="superscript"/>
        </w:rPr>
        <w:t>7</w:t>
      </w:r>
      <w:r>
        <w:rPr>
          <w:sz w:val="22"/>
          <w:szCs w:val="22"/>
        </w:rPr>
        <w:t>, H. Lecher</w:t>
      </w:r>
      <w:r w:rsidR="008F4E6F">
        <w:rPr>
          <w:sz w:val="22"/>
          <w:szCs w:val="22"/>
          <w:vertAlign w:val="superscript"/>
        </w:rPr>
        <w:t>7</w:t>
      </w:r>
      <w:r>
        <w:rPr>
          <w:sz w:val="22"/>
          <w:szCs w:val="22"/>
        </w:rPr>
        <w:t>, M. López</w:t>
      </w:r>
      <w:r w:rsidR="008F4E6F">
        <w:rPr>
          <w:sz w:val="22"/>
          <w:szCs w:val="22"/>
          <w:vertAlign w:val="superscript"/>
        </w:rPr>
        <w:t>7</w:t>
      </w:r>
      <w:r>
        <w:rPr>
          <w:sz w:val="22"/>
          <w:szCs w:val="22"/>
        </w:rPr>
        <w:t>, L. Rolland</w:t>
      </w:r>
      <w:r w:rsidR="008F4E6F">
        <w:rPr>
          <w:sz w:val="22"/>
          <w:szCs w:val="22"/>
          <w:vertAlign w:val="superscript"/>
        </w:rPr>
        <w:t>8</w:t>
      </w:r>
      <w:r>
        <w:rPr>
          <w:sz w:val="22"/>
          <w:szCs w:val="22"/>
        </w:rPr>
        <w:t>, P. Lagabbe</w:t>
      </w:r>
      <w:r w:rsidR="008F4E6F">
        <w:rPr>
          <w:sz w:val="22"/>
          <w:szCs w:val="22"/>
          <w:vertAlign w:val="superscript"/>
        </w:rPr>
        <w:t>8</w:t>
      </w:r>
      <w:r>
        <w:rPr>
          <w:sz w:val="22"/>
          <w:szCs w:val="22"/>
        </w:rPr>
        <w:t>,</w:t>
      </w:r>
      <w:r>
        <w:rPr>
          <w:sz w:val="22"/>
          <w:szCs w:val="22"/>
          <w:vertAlign w:val="superscript"/>
        </w:rPr>
        <w:t xml:space="preserve"> </w:t>
      </w:r>
      <w:r>
        <w:rPr>
          <w:sz w:val="22"/>
          <w:szCs w:val="22"/>
        </w:rPr>
        <w:t>D. Chen</w:t>
      </w:r>
      <w:r w:rsidR="008F4E6F">
        <w:rPr>
          <w:sz w:val="22"/>
          <w:szCs w:val="22"/>
          <w:vertAlign w:val="superscript"/>
        </w:rPr>
        <w:t>9</w:t>
      </w:r>
      <w:r>
        <w:rPr>
          <w:sz w:val="22"/>
          <w:szCs w:val="22"/>
        </w:rPr>
        <w:t>, R. Bajpai</w:t>
      </w:r>
      <w:r w:rsidR="008F4E6F">
        <w:rPr>
          <w:sz w:val="22"/>
          <w:szCs w:val="22"/>
          <w:vertAlign w:val="superscript"/>
        </w:rPr>
        <w:t>9</w:t>
      </w:r>
      <w:r>
        <w:rPr>
          <w:sz w:val="22"/>
          <w:szCs w:val="22"/>
        </w:rPr>
        <w:t>, and S. Fujii</w:t>
      </w:r>
      <w:r w:rsidR="008F4E6F">
        <w:rPr>
          <w:sz w:val="22"/>
          <w:szCs w:val="22"/>
          <w:vertAlign w:val="superscript"/>
        </w:rPr>
        <w:t>10</w:t>
      </w:r>
    </w:p>
    <w:p w14:paraId="12CE31F2" w14:textId="1CCA9954" w:rsidR="003231A6" w:rsidRDefault="008F4E6F">
      <w:pPr>
        <w:widowControl/>
        <w:pBdr>
          <w:top w:val="nil"/>
          <w:left w:val="nil"/>
          <w:bottom w:val="nil"/>
          <w:right w:val="nil"/>
          <w:between w:val="nil"/>
        </w:pBdr>
        <w:spacing w:line="280" w:lineRule="auto"/>
        <w:jc w:val="center"/>
        <w:rPr>
          <w:i/>
          <w:color w:val="000000"/>
          <w:highlight w:val="yellow"/>
        </w:rPr>
      </w:pPr>
      <w:r>
        <w:rPr>
          <w:i/>
          <w:vertAlign w:val="superscript"/>
        </w:rPr>
        <w:t>1</w:t>
      </w:r>
      <w:r>
        <w:rPr>
          <w:i/>
        </w:rPr>
        <w:t xml:space="preserve">Kenyon College, Gambier, USA, </w:t>
      </w:r>
      <w:r>
        <w:rPr>
          <w:i/>
          <w:vertAlign w:val="superscript"/>
        </w:rPr>
        <w:t>2</w:t>
      </w:r>
      <w:r>
        <w:rPr>
          <w:i/>
        </w:rPr>
        <w:t>L</w:t>
      </w:r>
      <w:r w:rsidR="00000000">
        <w:rPr>
          <w:i/>
        </w:rPr>
        <w:t>IGO Hanford Observatory, Richland, USA</w:t>
      </w:r>
      <w:r w:rsidR="00000000">
        <w:rPr>
          <w:i/>
          <w:color w:val="000000"/>
        </w:rPr>
        <w:t xml:space="preserve">, </w:t>
      </w:r>
      <w:r>
        <w:rPr>
          <w:i/>
          <w:vertAlign w:val="superscript"/>
        </w:rPr>
        <w:t>3</w:t>
      </w:r>
      <w:r>
        <w:rPr>
          <w:i/>
        </w:rPr>
        <w:t>Missouri University of Science and Technology, Rolla</w:t>
      </w:r>
      <w:r>
        <w:rPr>
          <w:i/>
        </w:rPr>
        <w:t xml:space="preserve">, USA, </w:t>
      </w:r>
      <w:r>
        <w:rPr>
          <w:i/>
          <w:vertAlign w:val="superscript"/>
        </w:rPr>
        <w:t>4</w:t>
      </w:r>
      <w:r w:rsidR="00000000">
        <w:rPr>
          <w:i/>
        </w:rPr>
        <w:t xml:space="preserve">University of Texas Rio Grande Valley, Brownsville, USA,  </w:t>
      </w:r>
      <w:r>
        <w:rPr>
          <w:i/>
          <w:vertAlign w:val="superscript"/>
        </w:rPr>
        <w:t>5</w:t>
      </w:r>
      <w:r w:rsidR="00000000">
        <w:rPr>
          <w:i/>
        </w:rPr>
        <w:t>LIGO Livingston Observatory, Livingston, USA,</w:t>
      </w:r>
      <w:r w:rsidR="00000000">
        <w:rPr>
          <w:i/>
          <w:color w:val="000000"/>
        </w:rPr>
        <w:t xml:space="preserve"> </w:t>
      </w:r>
      <w:r>
        <w:rPr>
          <w:i/>
          <w:sz w:val="22"/>
          <w:szCs w:val="22"/>
          <w:vertAlign w:val="superscript"/>
        </w:rPr>
        <w:t>6</w:t>
      </w:r>
      <w:r w:rsidR="00000000">
        <w:rPr>
          <w:i/>
          <w:color w:val="000000"/>
        </w:rPr>
        <w:t>National Instit</w:t>
      </w:r>
      <w:r w:rsidR="00000000">
        <w:rPr>
          <w:i/>
        </w:rPr>
        <w:t xml:space="preserve">ute of Standards and Technology, Boulder, USA, </w:t>
      </w:r>
      <w:r>
        <w:rPr>
          <w:i/>
          <w:sz w:val="22"/>
          <w:szCs w:val="22"/>
          <w:vertAlign w:val="superscript"/>
        </w:rPr>
        <w:t>7</w:t>
      </w:r>
      <w:r w:rsidR="00000000">
        <w:rPr>
          <w:i/>
        </w:rPr>
        <w:t xml:space="preserve">Physikalisch-Technische </w:t>
      </w:r>
      <w:proofErr w:type="spellStart"/>
      <w:r w:rsidR="00000000">
        <w:rPr>
          <w:i/>
        </w:rPr>
        <w:t>Bundesanstalt</w:t>
      </w:r>
      <w:proofErr w:type="spellEnd"/>
      <w:r w:rsidR="00000000">
        <w:rPr>
          <w:i/>
        </w:rPr>
        <w:t xml:space="preserve"> (PTB), Braunschweig, Germany, </w:t>
      </w:r>
      <w:r>
        <w:rPr>
          <w:i/>
          <w:sz w:val="22"/>
          <w:szCs w:val="22"/>
          <w:vertAlign w:val="superscript"/>
        </w:rPr>
        <w:t>8</w:t>
      </w:r>
      <w:r w:rsidR="00000000">
        <w:rPr>
          <w:i/>
        </w:rPr>
        <w:t xml:space="preserve">Laboratoire </w:t>
      </w:r>
      <w:proofErr w:type="spellStart"/>
      <w:r w:rsidR="00000000">
        <w:rPr>
          <w:i/>
        </w:rPr>
        <w:t>d’Annecy</w:t>
      </w:r>
      <w:proofErr w:type="spellEnd"/>
      <w:r w:rsidR="00000000">
        <w:rPr>
          <w:i/>
        </w:rPr>
        <w:t xml:space="preserve"> de Physique des </w:t>
      </w:r>
      <w:proofErr w:type="spellStart"/>
      <w:r w:rsidR="00000000">
        <w:rPr>
          <w:i/>
        </w:rPr>
        <w:t>Particules</w:t>
      </w:r>
      <w:proofErr w:type="spellEnd"/>
      <w:r w:rsidR="00000000">
        <w:rPr>
          <w:i/>
        </w:rPr>
        <w:t xml:space="preserve">, Annecy, France, </w:t>
      </w:r>
      <w:r>
        <w:rPr>
          <w:i/>
          <w:sz w:val="22"/>
          <w:szCs w:val="22"/>
          <w:vertAlign w:val="superscript"/>
        </w:rPr>
        <w:t>9</w:t>
      </w:r>
      <w:r w:rsidR="00000000">
        <w:rPr>
          <w:i/>
        </w:rPr>
        <w:t>National Astronomical Observatory of Japan</w:t>
      </w:r>
      <w:r w:rsidR="00000000">
        <w:rPr>
          <w:i/>
          <w:color w:val="000000"/>
        </w:rPr>
        <w:t xml:space="preserve">, </w:t>
      </w:r>
      <w:proofErr w:type="spellStart"/>
      <w:r w:rsidR="00000000">
        <w:rPr>
          <w:i/>
          <w:color w:val="000000"/>
        </w:rPr>
        <w:t>Mitaka</w:t>
      </w:r>
      <w:proofErr w:type="spellEnd"/>
      <w:r w:rsidR="00000000">
        <w:rPr>
          <w:i/>
          <w:color w:val="000000"/>
        </w:rPr>
        <w:t xml:space="preserve">, Japan, </w:t>
      </w:r>
      <w:r>
        <w:rPr>
          <w:i/>
          <w:vertAlign w:val="superscript"/>
        </w:rPr>
        <w:t>10</w:t>
      </w:r>
      <w:r w:rsidR="00000000">
        <w:rPr>
          <w:i/>
          <w:color w:val="000000"/>
        </w:rPr>
        <w:t>Inst</w:t>
      </w:r>
      <w:r w:rsidR="00000000">
        <w:rPr>
          <w:i/>
        </w:rPr>
        <w:t>i</w:t>
      </w:r>
      <w:r w:rsidR="00000000">
        <w:rPr>
          <w:i/>
          <w:color w:val="000000"/>
        </w:rPr>
        <w:t>tute for Cosmic Ray Research, Kashiwa, Japan</w:t>
      </w:r>
    </w:p>
    <w:p w14:paraId="0B5EC78A" w14:textId="77777777" w:rsidR="003231A6" w:rsidRDefault="00000000">
      <w:pPr>
        <w:widowControl/>
        <w:pBdr>
          <w:top w:val="nil"/>
          <w:left w:val="nil"/>
          <w:bottom w:val="nil"/>
          <w:right w:val="nil"/>
          <w:between w:val="nil"/>
        </w:pBdr>
        <w:spacing w:line="280" w:lineRule="auto"/>
        <w:jc w:val="center"/>
        <w:rPr>
          <w:i/>
          <w:color w:val="000000"/>
        </w:rPr>
      </w:pPr>
      <w:r>
        <w:rPr>
          <w:i/>
          <w:color w:val="000000"/>
        </w:rPr>
        <w:t xml:space="preserve">Corresponding e-mail address: </w:t>
      </w:r>
      <w:r>
        <w:rPr>
          <w:i/>
        </w:rPr>
        <w:t>bhattacharjee1@kenyon.edu</w:t>
      </w:r>
    </w:p>
    <w:p w14:paraId="4E19BC91" w14:textId="77777777" w:rsidR="003231A6" w:rsidRDefault="003231A6">
      <w:pPr>
        <w:widowControl/>
        <w:pBdr>
          <w:top w:val="nil"/>
          <w:left w:val="nil"/>
          <w:bottom w:val="nil"/>
          <w:right w:val="nil"/>
          <w:between w:val="nil"/>
        </w:pBdr>
        <w:spacing w:line="280" w:lineRule="auto"/>
        <w:jc w:val="center"/>
        <w:rPr>
          <w:i/>
          <w:color w:val="000000"/>
        </w:rPr>
        <w:sectPr w:rsidR="003231A6">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992" w:gutter="0"/>
          <w:pgNumType w:start="1"/>
          <w:cols w:space="720"/>
        </w:sectPr>
      </w:pPr>
    </w:p>
    <w:p w14:paraId="4C63F2CC" w14:textId="4F4521E2" w:rsidR="003231A6" w:rsidRDefault="00000000" w:rsidP="00CD46C8">
      <w:pPr>
        <w:widowControl/>
        <w:pBdr>
          <w:top w:val="nil"/>
          <w:left w:val="nil"/>
          <w:bottom w:val="nil"/>
          <w:right w:val="nil"/>
          <w:between w:val="nil"/>
        </w:pBdr>
        <w:spacing w:line="280" w:lineRule="exact"/>
        <w:rPr>
          <w:b/>
          <w:sz w:val="22"/>
          <w:szCs w:val="22"/>
        </w:rPr>
      </w:pPr>
      <w:r>
        <w:rPr>
          <w:b/>
          <w:sz w:val="22"/>
          <w:szCs w:val="22"/>
        </w:rPr>
        <w:t>Gravitational wave observatories use laser radiation pressure to generate calibrated displacement fiducials</w:t>
      </w:r>
      <w:r w:rsidR="00FE18F5">
        <w:rPr>
          <w:b/>
          <w:sz w:val="22"/>
          <w:szCs w:val="22"/>
        </w:rPr>
        <w:t xml:space="preserve"> used to calibrate the detector output signals</w:t>
      </w:r>
      <w:r>
        <w:rPr>
          <w:b/>
          <w:sz w:val="22"/>
          <w:szCs w:val="22"/>
        </w:rPr>
        <w:t>. Reducing calibration uncertainty enables maximizing extraction of astrophysical information from detected signals</w:t>
      </w:r>
      <w:r w:rsidR="00FE18F5">
        <w:rPr>
          <w:b/>
          <w:sz w:val="22"/>
          <w:szCs w:val="22"/>
        </w:rPr>
        <w:t xml:space="preserve"> – source distance, masses, </w:t>
      </w:r>
      <w:r w:rsidR="003A2070">
        <w:rPr>
          <w:b/>
          <w:sz w:val="22"/>
          <w:szCs w:val="22"/>
        </w:rPr>
        <w:t xml:space="preserve">spins, </w:t>
      </w:r>
      <w:r w:rsidR="00FE18F5">
        <w:rPr>
          <w:b/>
          <w:sz w:val="22"/>
          <w:szCs w:val="22"/>
        </w:rPr>
        <w:t>orbital parameters, etc</w:t>
      </w:r>
      <w:r>
        <w:rPr>
          <w:b/>
          <w:sz w:val="22"/>
          <w:szCs w:val="22"/>
        </w:rPr>
        <w:t xml:space="preserve">. </w:t>
      </w:r>
      <w:r w:rsidR="00B612E4">
        <w:rPr>
          <w:b/>
          <w:sz w:val="22"/>
          <w:szCs w:val="22"/>
        </w:rPr>
        <w:t>The</w:t>
      </w:r>
      <w:r>
        <w:rPr>
          <w:b/>
          <w:sz w:val="22"/>
          <w:szCs w:val="22"/>
        </w:rPr>
        <w:t xml:space="preserve"> global detector network is employing a new calibration scheme with transfer standards calibrated at both NIST and PTB. We report the results of a bilateral comparison between NIST and PTB with significantly lower uncertainty than previous studies and details of the implementation of gravitational wave detector displacement fiducials with less than 0.</w:t>
      </w:r>
      <w:r w:rsidR="008F5951">
        <w:rPr>
          <w:b/>
          <w:sz w:val="22"/>
          <w:szCs w:val="22"/>
        </w:rPr>
        <w:t>6</w:t>
      </w:r>
      <w:r w:rsidR="00047C2A">
        <w:rPr>
          <w:b/>
          <w:sz w:val="22"/>
          <w:szCs w:val="22"/>
        </w:rPr>
        <w:t xml:space="preserve"> %</w:t>
      </w:r>
      <w:r>
        <w:rPr>
          <w:b/>
          <w:sz w:val="22"/>
          <w:szCs w:val="22"/>
        </w:rPr>
        <w:t xml:space="preserve"> uncertainty</w:t>
      </w:r>
      <w:r w:rsidR="007F7F31">
        <w:rPr>
          <w:b/>
          <w:sz w:val="22"/>
          <w:szCs w:val="22"/>
        </w:rPr>
        <w:t xml:space="preserve"> </w:t>
      </w:r>
      <w:r w:rsidR="00E6504D" w:rsidRPr="00E6504D">
        <w:rPr>
          <w:b/>
          <w:sz w:val="22"/>
          <w:szCs w:val="22"/>
        </w:rPr>
        <w:t>(</w:t>
      </w:r>
      <w:r w:rsidR="00E6504D" w:rsidRPr="00B612E4">
        <w:rPr>
          <w:b/>
          <w:i/>
          <w:iCs/>
          <w:sz w:val="22"/>
          <w:szCs w:val="22"/>
        </w:rPr>
        <w:t>k</w:t>
      </w:r>
      <w:r w:rsidR="00B612E4">
        <w:rPr>
          <w:b/>
          <w:i/>
          <w:iCs/>
          <w:sz w:val="22"/>
          <w:szCs w:val="22"/>
        </w:rPr>
        <w:t xml:space="preserve"> </w:t>
      </w:r>
      <w:r w:rsidR="00E6504D" w:rsidRPr="00E6504D">
        <w:rPr>
          <w:b/>
          <w:sz w:val="22"/>
          <w:szCs w:val="22"/>
        </w:rPr>
        <w:t>=</w:t>
      </w:r>
      <w:r w:rsidR="00B612E4">
        <w:rPr>
          <w:b/>
          <w:sz w:val="22"/>
          <w:szCs w:val="22"/>
        </w:rPr>
        <w:t xml:space="preserve"> </w:t>
      </w:r>
      <w:r w:rsidR="00E6504D" w:rsidRPr="00E6504D">
        <w:rPr>
          <w:b/>
          <w:sz w:val="22"/>
          <w:szCs w:val="22"/>
        </w:rPr>
        <w:t>2</w:t>
      </w:r>
      <w:r w:rsidR="00E6504D">
        <w:rPr>
          <w:b/>
          <w:sz w:val="22"/>
          <w:szCs w:val="22"/>
        </w:rPr>
        <w:t xml:space="preserve"> or 2-</w:t>
      </w:r>
      <w:r w:rsidR="00E6504D" w:rsidRPr="00E6504D">
        <w:rPr>
          <w:rFonts w:ascii="Symbol" w:hAnsi="Times New Roman Bold"/>
          <w:b/>
          <w:sz w:val="22"/>
          <w:szCs w:val="22"/>
        </w:rPr>
        <w:t>s</w:t>
      </w:r>
      <w:r w:rsidR="00E6504D">
        <w:rPr>
          <w:b/>
          <w:sz w:val="22"/>
          <w:szCs w:val="22"/>
        </w:rPr>
        <w:t xml:space="preserve"> </w:t>
      </w:r>
      <w:r w:rsidR="00E6504D" w:rsidRPr="00E6504D">
        <w:rPr>
          <w:b/>
          <w:sz w:val="22"/>
          <w:szCs w:val="22"/>
        </w:rPr>
        <w:t>values are used throughout this document)</w:t>
      </w:r>
      <w:r w:rsidR="00E6504D">
        <w:rPr>
          <w:b/>
          <w:sz w:val="22"/>
          <w:szCs w:val="22"/>
        </w:rPr>
        <w:t>.</w:t>
      </w:r>
    </w:p>
    <w:p w14:paraId="31665A12" w14:textId="77777777" w:rsidR="003231A6" w:rsidRPr="00E6504D" w:rsidRDefault="003231A6" w:rsidP="00E6504D">
      <w:pPr>
        <w:widowControl/>
        <w:pBdr>
          <w:top w:val="nil"/>
          <w:left w:val="nil"/>
          <w:bottom w:val="nil"/>
          <w:right w:val="nil"/>
          <w:between w:val="nil"/>
        </w:pBdr>
        <w:rPr>
          <w:b/>
          <w:sz w:val="16"/>
          <w:szCs w:val="16"/>
        </w:rPr>
      </w:pPr>
    </w:p>
    <w:p w14:paraId="3E9A35D6" w14:textId="77777777" w:rsidR="003231A6" w:rsidRDefault="00000000">
      <w:pPr>
        <w:jc w:val="center"/>
        <w:rPr>
          <w:b/>
          <w:sz w:val="22"/>
          <w:szCs w:val="22"/>
        </w:rPr>
      </w:pPr>
      <w:r>
        <w:rPr>
          <w:b/>
          <w:sz w:val="22"/>
          <w:szCs w:val="22"/>
        </w:rPr>
        <w:t>INTRODUCTION AND GLOBAL PLAN</w:t>
      </w:r>
    </w:p>
    <w:p w14:paraId="3D102FA7" w14:textId="77777777" w:rsidR="003231A6" w:rsidRPr="00E6504D" w:rsidRDefault="003231A6">
      <w:pPr>
        <w:widowControl/>
        <w:pBdr>
          <w:top w:val="nil"/>
          <w:left w:val="nil"/>
          <w:bottom w:val="nil"/>
          <w:right w:val="nil"/>
          <w:between w:val="nil"/>
        </w:pBdr>
        <w:rPr>
          <w:sz w:val="16"/>
          <w:szCs w:val="16"/>
        </w:rPr>
      </w:pPr>
    </w:p>
    <w:p w14:paraId="3100FC80" w14:textId="77777777" w:rsidR="003231A6" w:rsidRDefault="00000000" w:rsidP="00CD46C8">
      <w:pPr>
        <w:widowControl/>
        <w:pBdr>
          <w:top w:val="nil"/>
          <w:left w:val="nil"/>
          <w:bottom w:val="nil"/>
          <w:right w:val="nil"/>
          <w:between w:val="nil"/>
        </w:pBdr>
        <w:spacing w:line="280" w:lineRule="exact"/>
        <w:rPr>
          <w:sz w:val="22"/>
          <w:szCs w:val="22"/>
        </w:rPr>
      </w:pPr>
      <w:r>
        <w:rPr>
          <w:sz w:val="22"/>
          <w:szCs w:val="22"/>
        </w:rPr>
        <w:t xml:space="preserve">The LIGO, Virgo, and KAGRA gravitational wave (GW) observatories will start their fourth observing run (O4) in May 2023.  Though nearly 100 GW events have been detected since the first in 2015, improved detector sensitivities for O4 suggest significantly higher event rates.  As signal-to-noise ratios increase, reduction of calibration uncertainties becomes increasingly important for optimally extracting the astrophysical information encoded in the GW signals [1]. </w:t>
      </w:r>
    </w:p>
    <w:p w14:paraId="3EBE5D82" w14:textId="4B810B6B" w:rsidR="00987B6A" w:rsidRDefault="00000000" w:rsidP="00CD46C8">
      <w:pPr>
        <w:widowControl/>
        <w:pBdr>
          <w:top w:val="nil"/>
          <w:left w:val="nil"/>
          <w:bottom w:val="nil"/>
          <w:right w:val="nil"/>
          <w:between w:val="nil"/>
        </w:pBdr>
        <w:spacing w:line="280" w:lineRule="exact"/>
        <w:rPr>
          <w:sz w:val="22"/>
          <w:szCs w:val="22"/>
        </w:rPr>
      </w:pPr>
      <w:r>
        <w:rPr>
          <w:sz w:val="22"/>
          <w:szCs w:val="22"/>
        </w:rPr>
        <w:t xml:space="preserve">  To improve calibration accuracy, the global network of GW observatories and the NIST and PTB national metrology institutes (NMI) have implemented a novel calibration scheme [2]. The observatories employ systems known as </w:t>
      </w:r>
      <w:r>
        <w:rPr>
          <w:i/>
          <w:sz w:val="22"/>
          <w:szCs w:val="22"/>
        </w:rPr>
        <w:t>photon calibrators</w:t>
      </w:r>
      <w:r>
        <w:rPr>
          <w:sz w:val="22"/>
          <w:szCs w:val="22"/>
        </w:rPr>
        <w:t xml:space="preserve"> (</w:t>
      </w:r>
      <w:proofErr w:type="spellStart"/>
      <w:r>
        <w:rPr>
          <w:sz w:val="22"/>
          <w:szCs w:val="22"/>
        </w:rPr>
        <w:t>Pcal</w:t>
      </w:r>
      <w:proofErr w:type="spellEnd"/>
      <w:r>
        <w:rPr>
          <w:sz w:val="22"/>
          <w:szCs w:val="22"/>
        </w:rPr>
        <w:t>) [</w:t>
      </w:r>
      <w:r w:rsidR="00834AE1">
        <w:rPr>
          <w:sz w:val="22"/>
          <w:szCs w:val="22"/>
        </w:rPr>
        <w:t>3</w:t>
      </w:r>
      <w:r>
        <w:rPr>
          <w:sz w:val="22"/>
          <w:szCs w:val="22"/>
        </w:rPr>
        <w:t>] to generate displacement fiducials</w:t>
      </w:r>
      <w:r w:rsidR="00D000AF">
        <w:rPr>
          <w:sz w:val="22"/>
          <w:szCs w:val="22"/>
        </w:rPr>
        <w:t>, calibrated periodic displacements of the interferometer mirrors</w:t>
      </w:r>
      <w:r w:rsidR="00C202C8">
        <w:rPr>
          <w:sz w:val="22"/>
          <w:szCs w:val="22"/>
        </w:rPr>
        <w:t xml:space="preserve"> at discrete frequencies across the 20 Hz to 2 kHz detection band</w:t>
      </w:r>
      <w:r w:rsidR="00D000AF">
        <w:rPr>
          <w:sz w:val="22"/>
          <w:szCs w:val="22"/>
        </w:rPr>
        <w:t>,</w:t>
      </w:r>
      <w:r>
        <w:rPr>
          <w:sz w:val="22"/>
          <w:szCs w:val="22"/>
        </w:rPr>
        <w:t xml:space="preserve"> at the 1x10</w:t>
      </w:r>
      <w:r>
        <w:rPr>
          <w:sz w:val="22"/>
          <w:szCs w:val="22"/>
          <w:vertAlign w:val="superscript"/>
        </w:rPr>
        <w:t>-17</w:t>
      </w:r>
      <w:r>
        <w:rPr>
          <w:sz w:val="22"/>
          <w:szCs w:val="22"/>
        </w:rPr>
        <w:t xml:space="preserve"> m level via radiation </w:t>
      </w:r>
      <w:r>
        <w:rPr>
          <w:sz w:val="22"/>
          <w:szCs w:val="22"/>
        </w:rPr>
        <w:t>pressure.  These systems rely on calibrated laser power sensors to enable accurate and precise displacement calibration.  The new scheme includes two integrating-sphere-based transfer standards</w:t>
      </w:r>
      <w:r w:rsidR="008D49F7">
        <w:rPr>
          <w:sz w:val="22"/>
          <w:szCs w:val="22"/>
        </w:rPr>
        <w:t xml:space="preserve"> (TS)</w:t>
      </w:r>
      <w:r>
        <w:rPr>
          <w:sz w:val="22"/>
          <w:szCs w:val="22"/>
        </w:rPr>
        <w:t>, similar to the power sensors employed at the observatories, that travel between the NIST and PTB NMIs and the observatories as shown in Fig</w:t>
      </w:r>
      <w:r w:rsidR="00D239AE">
        <w:rPr>
          <w:sz w:val="22"/>
          <w:szCs w:val="22"/>
        </w:rPr>
        <w:t>.</w:t>
      </w:r>
      <w:r>
        <w:rPr>
          <w:sz w:val="22"/>
          <w:szCs w:val="22"/>
        </w:rPr>
        <w:t xml:space="preserve"> 1.</w:t>
      </w:r>
      <w:r w:rsidR="00987B6A">
        <w:rPr>
          <w:sz w:val="22"/>
          <w:szCs w:val="22"/>
        </w:rPr>
        <w:t xml:space="preserve"> </w:t>
      </w:r>
      <w:r>
        <w:rPr>
          <w:sz w:val="22"/>
          <w:szCs w:val="22"/>
        </w:rPr>
        <w:t>The two standards will complete the calibration loop once per year, with a relative delay of six months.</w:t>
      </w:r>
      <w:r w:rsidR="00987B6A">
        <w:rPr>
          <w:sz w:val="22"/>
          <w:szCs w:val="22"/>
        </w:rPr>
        <w:t xml:space="preserve"> </w:t>
      </w:r>
      <w:r>
        <w:rPr>
          <w:sz w:val="22"/>
          <w:szCs w:val="22"/>
        </w:rPr>
        <w:t xml:space="preserve">Thus, each participating observatory </w:t>
      </w:r>
      <w:r w:rsidR="00987B6A">
        <w:rPr>
          <w:sz w:val="22"/>
          <w:szCs w:val="22"/>
        </w:rPr>
        <w:t>will receive</w:t>
      </w:r>
      <w:r>
        <w:rPr>
          <w:sz w:val="22"/>
          <w:szCs w:val="22"/>
        </w:rPr>
        <w:t xml:space="preserve"> a calibrated </w:t>
      </w:r>
      <w:r w:rsidR="008D49F7">
        <w:rPr>
          <w:sz w:val="22"/>
          <w:szCs w:val="22"/>
        </w:rPr>
        <w:t>TS</w:t>
      </w:r>
      <w:r>
        <w:rPr>
          <w:sz w:val="22"/>
          <w:szCs w:val="22"/>
        </w:rPr>
        <w:t xml:space="preserve"> approximately </w:t>
      </w:r>
      <w:r w:rsidR="00987B6A">
        <w:rPr>
          <w:sz w:val="22"/>
          <w:szCs w:val="22"/>
        </w:rPr>
        <w:t xml:space="preserve">once </w:t>
      </w:r>
      <w:r>
        <w:rPr>
          <w:sz w:val="22"/>
          <w:szCs w:val="22"/>
        </w:rPr>
        <w:t xml:space="preserve">every six months. LIGO and Virgo </w:t>
      </w:r>
      <w:r w:rsidR="00445E69">
        <w:rPr>
          <w:sz w:val="22"/>
          <w:szCs w:val="22"/>
        </w:rPr>
        <w:t>will</w:t>
      </w:r>
      <w:r>
        <w:rPr>
          <w:sz w:val="22"/>
          <w:szCs w:val="22"/>
        </w:rPr>
        <w:t xml:space="preserve"> participate </w:t>
      </w:r>
      <w:r w:rsidR="00987B6A">
        <w:rPr>
          <w:sz w:val="22"/>
          <w:szCs w:val="22"/>
        </w:rPr>
        <w:t xml:space="preserve">in this </w:t>
      </w:r>
      <w:r w:rsidR="00445E69">
        <w:rPr>
          <w:sz w:val="22"/>
          <w:szCs w:val="22"/>
        </w:rPr>
        <w:t>scheme</w:t>
      </w:r>
      <w:r w:rsidR="00987B6A">
        <w:rPr>
          <w:sz w:val="22"/>
          <w:szCs w:val="22"/>
        </w:rPr>
        <w:t xml:space="preserve"> from</w:t>
      </w:r>
      <w:r>
        <w:rPr>
          <w:sz w:val="22"/>
          <w:szCs w:val="22"/>
        </w:rPr>
        <w:t xml:space="preserve"> the beginning of the run, with KAGRA joining later in 2023 and the LIGO India project joining several years later.</w:t>
      </w:r>
    </w:p>
    <w:p w14:paraId="3730F4E6" w14:textId="77777777" w:rsidR="00987B6A" w:rsidRPr="00995947" w:rsidRDefault="00987B6A" w:rsidP="00987B6A">
      <w:pPr>
        <w:widowControl/>
        <w:pBdr>
          <w:top w:val="nil"/>
          <w:left w:val="nil"/>
          <w:bottom w:val="nil"/>
          <w:right w:val="nil"/>
          <w:between w:val="nil"/>
        </w:pBdr>
        <w:spacing w:line="280" w:lineRule="auto"/>
        <w:rPr>
          <w:sz w:val="22"/>
          <w:szCs w:val="22"/>
        </w:rPr>
      </w:pPr>
      <w:r>
        <w:rPr>
          <w:noProof/>
          <w:sz w:val="22"/>
          <w:szCs w:val="22"/>
        </w:rPr>
        <w:drawing>
          <wp:inline distT="114300" distB="114300" distL="114300" distR="114300" wp14:anchorId="04C6ADCF" wp14:editId="78640946">
            <wp:extent cx="2925185" cy="917867"/>
            <wp:effectExtent l="0" t="0" r="0" b="0"/>
            <wp:docPr id="15" name="image2.jpg"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2.jpg" descr="Diagram&#10;&#10;Description automatically generated"/>
                    <pic:cNvPicPr preferRelativeResize="0"/>
                  </pic:nvPicPr>
                  <pic:blipFill rotWithShape="1">
                    <a:blip r:embed="rId14"/>
                    <a:srcRect l="16568" t="17797" r="19519" b="46401"/>
                    <a:stretch/>
                  </pic:blipFill>
                  <pic:spPr bwMode="auto">
                    <a:xfrm>
                      <a:off x="0" y="0"/>
                      <a:ext cx="2931160" cy="919742"/>
                    </a:xfrm>
                    <a:prstGeom prst="rect">
                      <a:avLst/>
                    </a:prstGeom>
                    <a:ln>
                      <a:noFill/>
                    </a:ln>
                    <a:extLst>
                      <a:ext uri="{53640926-AAD7-44D8-BBD7-CCE9431645EC}">
                        <a14:shadowObscured xmlns:a14="http://schemas.microsoft.com/office/drawing/2010/main"/>
                      </a:ext>
                    </a:extLst>
                  </pic:spPr>
                </pic:pic>
              </a:graphicData>
            </a:graphic>
          </wp:inline>
        </w:drawing>
      </w:r>
    </w:p>
    <w:p w14:paraId="41FD8DAD" w14:textId="2429A51A" w:rsidR="00987B6A" w:rsidRPr="00987B6A" w:rsidRDefault="00987B6A" w:rsidP="005301A1">
      <w:pPr>
        <w:widowControl/>
        <w:pBdr>
          <w:top w:val="nil"/>
          <w:left w:val="nil"/>
          <w:bottom w:val="nil"/>
          <w:right w:val="nil"/>
          <w:between w:val="nil"/>
        </w:pBdr>
        <w:spacing w:line="280" w:lineRule="exact"/>
      </w:pPr>
      <w:r>
        <w:rPr>
          <w:b/>
        </w:rPr>
        <w:t xml:space="preserve">Figure 1. </w:t>
      </w:r>
      <w:r>
        <w:t>Schematic diagram of the global calibration scheme for the O4 observing run with transfer standards TSA and TSB circulating between observatories and NMIs</w:t>
      </w:r>
      <w:r>
        <w:t xml:space="preserve"> once per year with a relative delay of six months</w:t>
      </w:r>
      <w:r>
        <w:t>.</w:t>
      </w:r>
    </w:p>
    <w:p w14:paraId="0708827B" w14:textId="77777777" w:rsidR="003231A6" w:rsidRPr="00E6504D" w:rsidRDefault="003231A6" w:rsidP="00E6504D">
      <w:pPr>
        <w:widowControl/>
        <w:pBdr>
          <w:top w:val="nil"/>
          <w:left w:val="nil"/>
          <w:bottom w:val="nil"/>
          <w:right w:val="nil"/>
          <w:between w:val="nil"/>
        </w:pBdr>
        <w:rPr>
          <w:sz w:val="16"/>
          <w:szCs w:val="16"/>
        </w:rPr>
      </w:pPr>
    </w:p>
    <w:p w14:paraId="6C825F4E" w14:textId="77777777" w:rsidR="003231A6" w:rsidRDefault="00000000" w:rsidP="005301A1">
      <w:pPr>
        <w:widowControl/>
        <w:pBdr>
          <w:top w:val="nil"/>
          <w:left w:val="nil"/>
          <w:bottom w:val="nil"/>
          <w:right w:val="nil"/>
          <w:between w:val="nil"/>
        </w:pBdr>
        <w:spacing w:line="280" w:lineRule="exact"/>
        <w:jc w:val="center"/>
        <w:rPr>
          <w:b/>
          <w:sz w:val="22"/>
          <w:szCs w:val="22"/>
        </w:rPr>
      </w:pPr>
      <w:r>
        <w:rPr>
          <w:b/>
          <w:sz w:val="22"/>
          <w:szCs w:val="22"/>
        </w:rPr>
        <w:t>NIST/PTB BILATERAL COMPARISON</w:t>
      </w:r>
    </w:p>
    <w:p w14:paraId="608F1D22" w14:textId="77777777" w:rsidR="003231A6" w:rsidRPr="00E6504D" w:rsidRDefault="003231A6" w:rsidP="00E6504D">
      <w:pPr>
        <w:widowControl/>
        <w:pBdr>
          <w:top w:val="nil"/>
          <w:left w:val="nil"/>
          <w:bottom w:val="nil"/>
          <w:right w:val="nil"/>
          <w:between w:val="nil"/>
        </w:pBdr>
        <w:jc w:val="center"/>
        <w:rPr>
          <w:b/>
          <w:sz w:val="16"/>
          <w:szCs w:val="16"/>
        </w:rPr>
      </w:pPr>
    </w:p>
    <w:p w14:paraId="6D5D8D78" w14:textId="10D939DB" w:rsidR="003231A6" w:rsidRDefault="00000000" w:rsidP="005301A1">
      <w:pPr>
        <w:widowControl/>
        <w:pBdr>
          <w:top w:val="nil"/>
          <w:left w:val="nil"/>
          <w:bottom w:val="nil"/>
          <w:right w:val="nil"/>
          <w:between w:val="nil"/>
        </w:pBdr>
        <w:spacing w:line="280" w:lineRule="exact"/>
        <w:rPr>
          <w:b/>
          <w:sz w:val="24"/>
          <w:szCs w:val="24"/>
        </w:rPr>
      </w:pPr>
      <w:r>
        <w:rPr>
          <w:sz w:val="22"/>
          <w:szCs w:val="22"/>
        </w:rPr>
        <w:t xml:space="preserve">  Partly to support the GW community, NIST has commissioned a new primary radiant power calibration standard [</w:t>
      </w:r>
      <w:r w:rsidR="00DB5BD2">
        <w:rPr>
          <w:sz w:val="22"/>
          <w:szCs w:val="22"/>
        </w:rPr>
        <w:t>4</w:t>
      </w:r>
      <w:r>
        <w:rPr>
          <w:sz w:val="22"/>
          <w:szCs w:val="22"/>
        </w:rPr>
        <w:t>] with expanded uncertainty of 0.15</w:t>
      </w:r>
      <w:r w:rsidR="00047C2A">
        <w:rPr>
          <w:sz w:val="22"/>
          <w:szCs w:val="22"/>
        </w:rPr>
        <w:t xml:space="preserve"> %</w:t>
      </w:r>
      <w:r>
        <w:rPr>
          <w:sz w:val="22"/>
          <w:szCs w:val="22"/>
        </w:rPr>
        <w:t>, comparable to the PTB calibration uncertainty.</w:t>
      </w:r>
      <w:r w:rsidR="00A8352E">
        <w:rPr>
          <w:sz w:val="22"/>
          <w:szCs w:val="22"/>
        </w:rPr>
        <w:t xml:space="preserve"> </w:t>
      </w:r>
      <w:r>
        <w:rPr>
          <w:sz w:val="22"/>
          <w:szCs w:val="22"/>
        </w:rPr>
        <w:t>NIST and PTB are conducting a bilateral comparison using the two transfer standards</w:t>
      </w:r>
      <w:r w:rsidR="00834AE1">
        <w:rPr>
          <w:sz w:val="22"/>
          <w:szCs w:val="22"/>
        </w:rPr>
        <w:t>, TSA and TSB</w:t>
      </w:r>
      <w:r>
        <w:rPr>
          <w:sz w:val="22"/>
          <w:szCs w:val="22"/>
        </w:rPr>
        <w:t xml:space="preserve">. After </w:t>
      </w:r>
      <w:r w:rsidR="00834AE1">
        <w:rPr>
          <w:sz w:val="22"/>
          <w:szCs w:val="22"/>
        </w:rPr>
        <w:t xml:space="preserve">completing the </w:t>
      </w:r>
      <w:r>
        <w:rPr>
          <w:sz w:val="22"/>
          <w:szCs w:val="22"/>
        </w:rPr>
        <w:t>first steps in the comparison</w:t>
      </w:r>
      <w:r w:rsidR="00F02FFE">
        <w:rPr>
          <w:sz w:val="22"/>
          <w:szCs w:val="22"/>
        </w:rPr>
        <w:t>,</w:t>
      </w:r>
      <w:r>
        <w:rPr>
          <w:sz w:val="22"/>
          <w:szCs w:val="22"/>
        </w:rPr>
        <w:t xml:space="preserve"> the </w:t>
      </w:r>
      <w:r w:rsidR="00237724">
        <w:rPr>
          <w:sz w:val="22"/>
          <w:szCs w:val="22"/>
        </w:rPr>
        <w:t>relative</w:t>
      </w:r>
      <w:r>
        <w:rPr>
          <w:sz w:val="22"/>
          <w:szCs w:val="22"/>
        </w:rPr>
        <w:t xml:space="preserve"> uncertainties of the consensus values for the two standards are 0.</w:t>
      </w:r>
      <w:r w:rsidR="008F5951">
        <w:rPr>
          <w:sz w:val="22"/>
          <w:szCs w:val="22"/>
        </w:rPr>
        <w:t>15</w:t>
      </w:r>
      <w:r w:rsidR="00047C2A">
        <w:rPr>
          <w:sz w:val="22"/>
          <w:szCs w:val="22"/>
        </w:rPr>
        <w:t xml:space="preserve"> %</w:t>
      </w:r>
      <w:r>
        <w:rPr>
          <w:sz w:val="22"/>
          <w:szCs w:val="22"/>
        </w:rPr>
        <w:t>. The bilateral degree of equivalence (DoE)</w:t>
      </w:r>
      <w:r w:rsidR="00D239AE">
        <w:rPr>
          <w:sz w:val="22"/>
          <w:szCs w:val="22"/>
        </w:rPr>
        <w:t xml:space="preserve"> </w:t>
      </w:r>
      <w:r>
        <w:rPr>
          <w:sz w:val="22"/>
          <w:szCs w:val="22"/>
        </w:rPr>
        <w:t>for this comparison is 0.23</w:t>
      </w:r>
      <w:r w:rsidR="00047C2A">
        <w:rPr>
          <w:sz w:val="22"/>
          <w:szCs w:val="22"/>
        </w:rPr>
        <w:t xml:space="preserve"> %</w:t>
      </w:r>
      <w:r>
        <w:rPr>
          <w:sz w:val="22"/>
          <w:szCs w:val="22"/>
        </w:rPr>
        <w:t>, with an expanded uncertainty</w:t>
      </w:r>
      <w:r w:rsidR="008F5951">
        <w:rPr>
          <w:sz w:val="22"/>
          <w:szCs w:val="22"/>
        </w:rPr>
        <w:t xml:space="preserve"> </w:t>
      </w:r>
      <w:r>
        <w:rPr>
          <w:sz w:val="22"/>
          <w:szCs w:val="22"/>
        </w:rPr>
        <w:lastRenderedPageBreak/>
        <w:t>of 0.25</w:t>
      </w:r>
      <w:r w:rsidR="00047C2A">
        <w:rPr>
          <w:sz w:val="22"/>
          <w:szCs w:val="22"/>
        </w:rPr>
        <w:t xml:space="preserve"> %</w:t>
      </w:r>
      <w:r w:rsidR="008F5951">
        <w:rPr>
          <w:sz w:val="22"/>
          <w:szCs w:val="22"/>
        </w:rPr>
        <w:t>.</w:t>
      </w:r>
      <w:r>
        <w:rPr>
          <w:sz w:val="22"/>
          <w:szCs w:val="22"/>
        </w:rPr>
        <w:t xml:space="preserve">  This is a factor of more than three smaller than for the previous NIST/PTB bilateral comparison </w:t>
      </w:r>
      <w:r w:rsidR="00834AE1">
        <w:rPr>
          <w:sz w:val="22"/>
          <w:szCs w:val="22"/>
        </w:rPr>
        <w:t xml:space="preserve">using a LIGO TS </w:t>
      </w:r>
      <w:r>
        <w:rPr>
          <w:sz w:val="22"/>
          <w:szCs w:val="22"/>
        </w:rPr>
        <w:t>[</w:t>
      </w:r>
      <w:r w:rsidR="00237724">
        <w:rPr>
          <w:sz w:val="22"/>
          <w:szCs w:val="22"/>
        </w:rPr>
        <w:t>5</w:t>
      </w:r>
      <w:r w:rsidR="008D49F7">
        <w:rPr>
          <w:sz w:val="22"/>
          <w:szCs w:val="22"/>
        </w:rPr>
        <w:t>].</w:t>
      </w:r>
      <w:r>
        <w:rPr>
          <w:sz w:val="22"/>
          <w:szCs w:val="22"/>
        </w:rPr>
        <w:t xml:space="preserve"> Th</w:t>
      </w:r>
      <w:r w:rsidR="00DB5BD2">
        <w:rPr>
          <w:sz w:val="22"/>
          <w:szCs w:val="22"/>
        </w:rPr>
        <w:t>e</w:t>
      </w:r>
      <w:r>
        <w:rPr>
          <w:sz w:val="22"/>
          <w:szCs w:val="22"/>
        </w:rPr>
        <w:t xml:space="preserve"> </w:t>
      </w:r>
      <w:r w:rsidR="008D49F7">
        <w:rPr>
          <w:sz w:val="22"/>
          <w:szCs w:val="22"/>
        </w:rPr>
        <w:t>smaller</w:t>
      </w:r>
      <w:r w:rsidR="00DB5BD2">
        <w:rPr>
          <w:sz w:val="22"/>
          <w:szCs w:val="22"/>
        </w:rPr>
        <w:t xml:space="preserve"> calibration uncertainties </w:t>
      </w:r>
      <w:r w:rsidR="00A8352E">
        <w:rPr>
          <w:sz w:val="22"/>
          <w:szCs w:val="22"/>
        </w:rPr>
        <w:t>reduce</w:t>
      </w:r>
      <w:r w:rsidR="006E2AE0">
        <w:rPr>
          <w:sz w:val="22"/>
          <w:szCs w:val="22"/>
        </w:rPr>
        <w:t xml:space="preserve"> the uncertainties of the displacement fiducials generated by the </w:t>
      </w:r>
      <w:proofErr w:type="spellStart"/>
      <w:r w:rsidR="006E2AE0">
        <w:rPr>
          <w:sz w:val="22"/>
          <w:szCs w:val="22"/>
        </w:rPr>
        <w:t>Pcal</w:t>
      </w:r>
      <w:proofErr w:type="spellEnd"/>
      <w:r w:rsidR="006E2AE0">
        <w:rPr>
          <w:sz w:val="22"/>
          <w:szCs w:val="22"/>
        </w:rPr>
        <w:t xml:space="preserve">  systems</w:t>
      </w:r>
      <w:r w:rsidR="00A8352E">
        <w:rPr>
          <w:sz w:val="22"/>
          <w:szCs w:val="22"/>
        </w:rPr>
        <w:t xml:space="preserve"> and the reduced DoE uncertainty increases confidence </w:t>
      </w:r>
      <w:r w:rsidR="008D49F7">
        <w:rPr>
          <w:sz w:val="22"/>
          <w:szCs w:val="22"/>
        </w:rPr>
        <w:t>in their accuracy.</w:t>
      </w:r>
    </w:p>
    <w:p w14:paraId="390938EB" w14:textId="77777777" w:rsidR="003231A6" w:rsidRPr="00E6504D" w:rsidRDefault="003231A6" w:rsidP="00E6504D">
      <w:pPr>
        <w:widowControl/>
        <w:pBdr>
          <w:top w:val="nil"/>
          <w:left w:val="nil"/>
          <w:bottom w:val="nil"/>
          <w:right w:val="nil"/>
          <w:between w:val="nil"/>
        </w:pBdr>
        <w:rPr>
          <w:b/>
          <w:sz w:val="16"/>
          <w:szCs w:val="16"/>
        </w:rPr>
      </w:pPr>
    </w:p>
    <w:p w14:paraId="31D960D2" w14:textId="77777777" w:rsidR="003231A6" w:rsidRDefault="00000000" w:rsidP="005301A1">
      <w:pPr>
        <w:widowControl/>
        <w:pBdr>
          <w:top w:val="nil"/>
          <w:left w:val="nil"/>
          <w:bottom w:val="nil"/>
          <w:right w:val="nil"/>
          <w:between w:val="nil"/>
        </w:pBdr>
        <w:spacing w:line="280" w:lineRule="exact"/>
        <w:jc w:val="center"/>
        <w:rPr>
          <w:b/>
          <w:sz w:val="22"/>
          <w:szCs w:val="22"/>
        </w:rPr>
      </w:pPr>
      <w:r>
        <w:rPr>
          <w:b/>
          <w:sz w:val="22"/>
          <w:szCs w:val="22"/>
        </w:rPr>
        <w:t>DISPLACEMENT FIDUCIALS FOR O4</w:t>
      </w:r>
    </w:p>
    <w:p w14:paraId="7B641CC5" w14:textId="77777777" w:rsidR="003231A6" w:rsidRPr="00E6504D" w:rsidRDefault="003231A6" w:rsidP="00E6504D">
      <w:pPr>
        <w:widowControl/>
        <w:pBdr>
          <w:top w:val="nil"/>
          <w:left w:val="nil"/>
          <w:bottom w:val="nil"/>
          <w:right w:val="nil"/>
          <w:between w:val="nil"/>
        </w:pBdr>
        <w:jc w:val="center"/>
        <w:rPr>
          <w:b/>
          <w:sz w:val="16"/>
          <w:szCs w:val="16"/>
        </w:rPr>
      </w:pPr>
    </w:p>
    <w:p w14:paraId="4AB0B285" w14:textId="77777777" w:rsidR="003231A6" w:rsidRDefault="00000000" w:rsidP="005301A1">
      <w:pPr>
        <w:widowControl/>
        <w:pBdr>
          <w:top w:val="nil"/>
          <w:left w:val="nil"/>
          <w:bottom w:val="nil"/>
          <w:right w:val="nil"/>
          <w:between w:val="nil"/>
        </w:pBdr>
        <w:spacing w:line="280" w:lineRule="exact"/>
        <w:rPr>
          <w:sz w:val="22"/>
          <w:szCs w:val="22"/>
        </w:rPr>
      </w:pPr>
      <w:r>
        <w:rPr>
          <w:sz w:val="22"/>
          <w:szCs w:val="22"/>
        </w:rPr>
        <w:t xml:space="preserve">The modulated displacement induced by a </w:t>
      </w:r>
      <w:proofErr w:type="spellStart"/>
      <w:r>
        <w:rPr>
          <w:sz w:val="22"/>
          <w:szCs w:val="22"/>
        </w:rPr>
        <w:t>Pcal</w:t>
      </w:r>
      <w:proofErr w:type="spellEnd"/>
      <w:r>
        <w:rPr>
          <w:sz w:val="22"/>
          <w:szCs w:val="22"/>
        </w:rPr>
        <w:t xml:space="preserve"> system is given by</w:t>
      </w:r>
    </w:p>
    <w:p w14:paraId="77BD6304" w14:textId="77777777" w:rsidR="003231A6" w:rsidRDefault="00000000">
      <w:pPr>
        <w:widowControl/>
        <w:pBdr>
          <w:top w:val="nil"/>
          <w:left w:val="nil"/>
          <w:bottom w:val="nil"/>
          <w:right w:val="nil"/>
          <w:between w:val="nil"/>
        </w:pBdr>
        <w:rPr>
          <w:sz w:val="22"/>
          <w:szCs w:val="22"/>
        </w:rPr>
      </w:pPr>
      <w:r>
        <w:rPr>
          <w:noProof/>
          <w:sz w:val="22"/>
          <w:szCs w:val="22"/>
        </w:rPr>
        <w:drawing>
          <wp:inline distT="114300" distB="114300" distL="114300" distR="114300" wp14:anchorId="0BB8920D" wp14:editId="42C7A4F6">
            <wp:extent cx="3086100" cy="483159"/>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l="27479" t="26247" r="28248" b="61606"/>
                    <a:stretch>
                      <a:fillRect/>
                    </a:stretch>
                  </pic:blipFill>
                  <pic:spPr>
                    <a:xfrm>
                      <a:off x="0" y="0"/>
                      <a:ext cx="3086100" cy="483159"/>
                    </a:xfrm>
                    <a:prstGeom prst="rect">
                      <a:avLst/>
                    </a:prstGeom>
                    <a:ln/>
                  </pic:spPr>
                </pic:pic>
              </a:graphicData>
            </a:graphic>
          </wp:inline>
        </w:drawing>
      </w:r>
    </w:p>
    <w:p w14:paraId="378C9454" w14:textId="05A2B23D" w:rsidR="003231A6" w:rsidRDefault="00000000" w:rsidP="00CD46C8">
      <w:pPr>
        <w:widowControl/>
        <w:pBdr>
          <w:top w:val="nil"/>
          <w:left w:val="nil"/>
          <w:bottom w:val="nil"/>
          <w:right w:val="nil"/>
          <w:between w:val="nil"/>
        </w:pBdr>
        <w:spacing w:line="280" w:lineRule="exact"/>
        <w:rPr>
          <w:sz w:val="22"/>
          <w:szCs w:val="22"/>
        </w:rPr>
      </w:pPr>
      <w:r>
        <w:rPr>
          <w:sz w:val="22"/>
          <w:szCs w:val="22"/>
        </w:rPr>
        <w:t xml:space="preserve">where 𝜃 is the angle of incidence of the </w:t>
      </w:r>
      <w:proofErr w:type="spellStart"/>
      <w:r>
        <w:rPr>
          <w:sz w:val="22"/>
          <w:szCs w:val="22"/>
        </w:rPr>
        <w:t>Pcal</w:t>
      </w:r>
      <w:proofErr w:type="spellEnd"/>
      <w:r>
        <w:rPr>
          <w:sz w:val="22"/>
          <w:szCs w:val="22"/>
        </w:rPr>
        <w:t xml:space="preserve"> beams on the mirror surface, </w:t>
      </w:r>
      <w:r>
        <w:rPr>
          <w:i/>
          <w:sz w:val="22"/>
          <w:szCs w:val="22"/>
        </w:rPr>
        <w:t>M</w:t>
      </w:r>
      <w:r>
        <w:rPr>
          <w:sz w:val="22"/>
          <w:szCs w:val="22"/>
        </w:rPr>
        <w:t xml:space="preserve"> is the mass of the mirror, </w:t>
      </w:r>
      <w:r>
        <w:rPr>
          <w:i/>
          <w:sz w:val="22"/>
          <w:szCs w:val="22"/>
        </w:rPr>
        <w:t xml:space="preserve">c </w:t>
      </w:r>
      <w:r>
        <w:rPr>
          <w:sz w:val="22"/>
          <w:szCs w:val="22"/>
        </w:rPr>
        <w:t xml:space="preserve"> is the speed of light</w:t>
      </w:r>
      <w:r w:rsidR="00834AE1">
        <w:rPr>
          <w:sz w:val="22"/>
          <w:szCs w:val="22"/>
        </w:rPr>
        <w:t>,</w:t>
      </w:r>
      <w:r>
        <w:rPr>
          <w:sz w:val="22"/>
          <w:szCs w:val="22"/>
        </w:rPr>
        <w:t xml:space="preserve"> and </w:t>
      </w:r>
      <w:r>
        <w:rPr>
          <w:i/>
          <w:sz w:val="22"/>
          <w:szCs w:val="22"/>
        </w:rPr>
        <w:t>P(𝜔)</w:t>
      </w:r>
      <w:r>
        <w:rPr>
          <w:sz w:val="22"/>
          <w:szCs w:val="22"/>
        </w:rPr>
        <w:t xml:space="preserve"> is the reflected </w:t>
      </w:r>
      <w:r w:rsidR="00834AE1">
        <w:rPr>
          <w:sz w:val="22"/>
          <w:szCs w:val="22"/>
        </w:rPr>
        <w:t xml:space="preserve">modulated </w:t>
      </w:r>
      <w:r>
        <w:rPr>
          <w:sz w:val="22"/>
          <w:szCs w:val="22"/>
        </w:rPr>
        <w:t>laser power. 𝜌</w:t>
      </w:r>
      <w:r>
        <w:rPr>
          <w:sz w:val="22"/>
          <w:szCs w:val="22"/>
          <w:vertAlign w:val="subscript"/>
        </w:rPr>
        <w:t>R</w:t>
      </w:r>
      <w:r>
        <w:rPr>
          <w:sz w:val="22"/>
          <w:szCs w:val="22"/>
        </w:rPr>
        <w:t xml:space="preserve"> is the calibration coefficient for the power sensor at the end station in digital counts per watt, 𝜂</w:t>
      </w:r>
      <w:r>
        <w:rPr>
          <w:sz w:val="22"/>
          <w:szCs w:val="22"/>
          <w:vertAlign w:val="subscript"/>
        </w:rPr>
        <w:t>R</w:t>
      </w:r>
      <w:r>
        <w:rPr>
          <w:sz w:val="22"/>
          <w:szCs w:val="22"/>
        </w:rPr>
        <w:t xml:space="preserve"> is the optical efficiency for the path between the </w:t>
      </w:r>
      <w:r w:rsidR="00D239AE">
        <w:rPr>
          <w:sz w:val="22"/>
          <w:szCs w:val="22"/>
        </w:rPr>
        <w:t xml:space="preserve">end mirror </w:t>
      </w:r>
      <w:r>
        <w:rPr>
          <w:sz w:val="22"/>
          <w:szCs w:val="22"/>
        </w:rPr>
        <w:t xml:space="preserve">and the sensor, and </w:t>
      </w:r>
      <w:proofErr w:type="spellStart"/>
      <w:r>
        <w:rPr>
          <w:i/>
          <w:sz w:val="22"/>
          <w:szCs w:val="22"/>
        </w:rPr>
        <w:t>d</w:t>
      </w:r>
      <w:r>
        <w:rPr>
          <w:i/>
          <w:sz w:val="22"/>
          <w:szCs w:val="22"/>
          <w:vertAlign w:val="subscript"/>
        </w:rPr>
        <w:t>R</w:t>
      </w:r>
      <w:proofErr w:type="spellEnd"/>
      <w:r>
        <w:rPr>
          <w:sz w:val="22"/>
          <w:szCs w:val="22"/>
        </w:rPr>
        <w:t xml:space="preserve"> is the power sensor output in digital counts.</w:t>
      </w:r>
    </w:p>
    <w:p w14:paraId="2723285E" w14:textId="26C9E002" w:rsidR="003231A6" w:rsidRDefault="00000000" w:rsidP="00CD46C8">
      <w:pPr>
        <w:widowControl/>
        <w:pBdr>
          <w:top w:val="nil"/>
          <w:left w:val="nil"/>
          <w:bottom w:val="nil"/>
          <w:right w:val="nil"/>
          <w:between w:val="nil"/>
        </w:pBdr>
        <w:spacing w:line="280" w:lineRule="exact"/>
        <w:rPr>
          <w:sz w:val="22"/>
          <w:szCs w:val="22"/>
        </w:rPr>
      </w:pPr>
      <w:r>
        <w:rPr>
          <w:sz w:val="22"/>
          <w:szCs w:val="22"/>
        </w:rPr>
        <w:t xml:space="preserve">  In preparation for the O4 observing run,  </w:t>
      </w:r>
      <w:proofErr w:type="spellStart"/>
      <w:r>
        <w:rPr>
          <w:sz w:val="22"/>
          <w:szCs w:val="22"/>
        </w:rPr>
        <w:t>Pcal</w:t>
      </w:r>
      <w:proofErr w:type="spellEnd"/>
      <w:r>
        <w:rPr>
          <w:sz w:val="22"/>
          <w:szCs w:val="22"/>
        </w:rPr>
        <w:t xml:space="preserve"> power sensors were upgraded to incorporate detector spacers that reduce the temperature dependence of the responsivity. The </w:t>
      </w:r>
      <w:r w:rsidR="00D87C29">
        <w:rPr>
          <w:sz w:val="22"/>
          <w:szCs w:val="22"/>
        </w:rPr>
        <w:t>transfer standard</w:t>
      </w:r>
      <w:r>
        <w:rPr>
          <w:sz w:val="22"/>
          <w:szCs w:val="22"/>
        </w:rPr>
        <w:t xml:space="preserve"> that was previously calibrated by NIST and PTB during </w:t>
      </w:r>
      <w:r w:rsidR="00D87C29">
        <w:rPr>
          <w:sz w:val="22"/>
          <w:szCs w:val="22"/>
        </w:rPr>
        <w:t>the</w:t>
      </w:r>
      <w:r>
        <w:rPr>
          <w:sz w:val="22"/>
          <w:szCs w:val="22"/>
        </w:rPr>
        <w:t xml:space="preserve"> earlier bilateral comparison [5] was used  to calibrate the end station sensors at the LIGO Hanford Observatory (LHO). First its calibration was transferred to a </w:t>
      </w:r>
      <w:r>
        <w:rPr>
          <w:i/>
          <w:sz w:val="22"/>
          <w:szCs w:val="22"/>
        </w:rPr>
        <w:t>gold standard</w:t>
      </w:r>
      <w:r>
        <w:rPr>
          <w:sz w:val="22"/>
          <w:szCs w:val="22"/>
        </w:rPr>
        <w:t xml:space="preserve"> that is maintained in a laboratory at LHO,  then </w:t>
      </w:r>
      <w:r w:rsidR="00313309">
        <w:rPr>
          <w:sz w:val="22"/>
          <w:szCs w:val="22"/>
        </w:rPr>
        <w:t xml:space="preserve">from the gold standard </w:t>
      </w:r>
      <w:r>
        <w:rPr>
          <w:sz w:val="22"/>
          <w:szCs w:val="22"/>
        </w:rPr>
        <w:t xml:space="preserve">to a </w:t>
      </w:r>
      <w:r>
        <w:rPr>
          <w:i/>
          <w:sz w:val="22"/>
          <w:szCs w:val="22"/>
        </w:rPr>
        <w:t>working standard</w:t>
      </w:r>
      <w:r>
        <w:rPr>
          <w:sz w:val="22"/>
          <w:szCs w:val="22"/>
        </w:rPr>
        <w:t xml:space="preserve"> that is transported to the interferometer end stations to calibrate the </w:t>
      </w:r>
      <w:proofErr w:type="spellStart"/>
      <w:r>
        <w:rPr>
          <w:sz w:val="22"/>
          <w:szCs w:val="22"/>
        </w:rPr>
        <w:t>Pcal</w:t>
      </w:r>
      <w:proofErr w:type="spellEnd"/>
      <w:r>
        <w:rPr>
          <w:sz w:val="22"/>
          <w:szCs w:val="22"/>
        </w:rPr>
        <w:t xml:space="preserve"> sensors that receive the light reflected from the end mirrors.  This process is shown schematically in Fig</w:t>
      </w:r>
      <w:r w:rsidR="00D239AE">
        <w:rPr>
          <w:sz w:val="22"/>
          <w:szCs w:val="22"/>
        </w:rPr>
        <w:t>.</w:t>
      </w:r>
      <w:r>
        <w:rPr>
          <w:sz w:val="22"/>
          <w:szCs w:val="22"/>
        </w:rPr>
        <w:t xml:space="preserve"> 2. The measurements were repeated five or more times at each step in the</w:t>
      </w:r>
      <w:r w:rsidR="00027339">
        <w:rPr>
          <w:sz w:val="22"/>
          <w:szCs w:val="22"/>
        </w:rPr>
        <w:t xml:space="preserve"> transfer </w:t>
      </w:r>
      <w:r>
        <w:rPr>
          <w:sz w:val="22"/>
          <w:szCs w:val="22"/>
        </w:rPr>
        <w:t>process.</w:t>
      </w:r>
    </w:p>
    <w:p w14:paraId="0AD06D6D" w14:textId="1E2B97C9" w:rsidR="003231A6" w:rsidRDefault="00000000" w:rsidP="00CD46C8">
      <w:pPr>
        <w:widowControl/>
        <w:pBdr>
          <w:top w:val="nil"/>
          <w:left w:val="nil"/>
          <w:bottom w:val="nil"/>
          <w:right w:val="nil"/>
          <w:between w:val="nil"/>
        </w:pBdr>
        <w:spacing w:line="280" w:lineRule="exact"/>
        <w:rPr>
          <w:sz w:val="22"/>
          <w:szCs w:val="22"/>
        </w:rPr>
      </w:pPr>
      <w:r>
        <w:rPr>
          <w:sz w:val="22"/>
          <w:szCs w:val="22"/>
        </w:rPr>
        <w:t xml:space="preserve">   The </w:t>
      </w:r>
      <w:r w:rsidR="00313309">
        <w:rPr>
          <w:sz w:val="22"/>
          <w:szCs w:val="22"/>
        </w:rPr>
        <w:t xml:space="preserve">expanded, </w:t>
      </w:r>
      <w:r>
        <w:rPr>
          <w:sz w:val="22"/>
          <w:szCs w:val="22"/>
        </w:rPr>
        <w:t>composite</w:t>
      </w:r>
      <w:r w:rsidR="00313309">
        <w:rPr>
          <w:sz w:val="22"/>
          <w:szCs w:val="22"/>
        </w:rPr>
        <w:t>,</w:t>
      </w:r>
      <w:r>
        <w:rPr>
          <w:sz w:val="22"/>
          <w:szCs w:val="22"/>
        </w:rPr>
        <w:t xml:space="preserve"> relative calibration uncertainty</w:t>
      </w:r>
      <w:r w:rsidR="008C2045">
        <w:rPr>
          <w:sz w:val="22"/>
          <w:szCs w:val="22"/>
        </w:rPr>
        <w:t xml:space="preserve"> </w:t>
      </w:r>
      <w:r>
        <w:rPr>
          <w:sz w:val="22"/>
          <w:szCs w:val="22"/>
        </w:rPr>
        <w:t>for the TS is 0.</w:t>
      </w:r>
      <w:r w:rsidR="005301A1">
        <w:rPr>
          <w:sz w:val="22"/>
          <w:szCs w:val="22"/>
        </w:rPr>
        <w:t>20</w:t>
      </w:r>
      <w:r w:rsidR="00047C2A">
        <w:rPr>
          <w:sz w:val="22"/>
          <w:szCs w:val="22"/>
        </w:rPr>
        <w:t xml:space="preserve"> %</w:t>
      </w:r>
      <w:r>
        <w:rPr>
          <w:sz w:val="22"/>
          <w:szCs w:val="22"/>
        </w:rPr>
        <w:t xml:space="preserve">.  Transferring it to the end station sensors, the resulting calibration uncertainty </w:t>
      </w:r>
      <w:r w:rsidR="00D87C29">
        <w:rPr>
          <w:sz w:val="22"/>
          <w:szCs w:val="22"/>
        </w:rPr>
        <w:t>i</w:t>
      </w:r>
      <w:r>
        <w:rPr>
          <w:sz w:val="22"/>
          <w:szCs w:val="22"/>
        </w:rPr>
        <w:t>s 0.</w:t>
      </w:r>
      <w:r w:rsidR="005301A1">
        <w:rPr>
          <w:sz w:val="22"/>
          <w:szCs w:val="22"/>
        </w:rPr>
        <w:t>21</w:t>
      </w:r>
      <w:r w:rsidR="00047C2A">
        <w:rPr>
          <w:sz w:val="22"/>
          <w:szCs w:val="22"/>
        </w:rPr>
        <w:t xml:space="preserve"> %</w:t>
      </w:r>
      <w:r>
        <w:rPr>
          <w:sz w:val="22"/>
          <w:szCs w:val="22"/>
        </w:rPr>
        <w:t xml:space="preserve"> for the X-end sensor and 0.</w:t>
      </w:r>
      <w:r w:rsidR="005301A1">
        <w:rPr>
          <w:sz w:val="22"/>
          <w:szCs w:val="22"/>
        </w:rPr>
        <w:t>22</w:t>
      </w:r>
      <w:r w:rsidR="00047C2A">
        <w:rPr>
          <w:sz w:val="22"/>
          <w:szCs w:val="22"/>
        </w:rPr>
        <w:t xml:space="preserve"> %</w:t>
      </w:r>
      <w:r>
        <w:rPr>
          <w:sz w:val="22"/>
          <w:szCs w:val="22"/>
        </w:rPr>
        <w:t xml:space="preserve"> for the Y-end sensor.  The relative uncertainty in 𝜂</w:t>
      </w:r>
      <w:r>
        <w:rPr>
          <w:sz w:val="22"/>
          <w:szCs w:val="22"/>
          <w:vertAlign w:val="subscript"/>
        </w:rPr>
        <w:t>R</w:t>
      </w:r>
      <w:r>
        <w:rPr>
          <w:sz w:val="22"/>
          <w:szCs w:val="22"/>
        </w:rPr>
        <w:t xml:space="preserve"> is 0.</w:t>
      </w:r>
      <w:r w:rsidR="005301A1">
        <w:rPr>
          <w:sz w:val="22"/>
          <w:szCs w:val="22"/>
        </w:rPr>
        <w:t>20</w:t>
      </w:r>
      <w:r w:rsidR="00047C2A">
        <w:rPr>
          <w:sz w:val="22"/>
          <w:szCs w:val="22"/>
        </w:rPr>
        <w:t xml:space="preserve"> %</w:t>
      </w:r>
      <w:r>
        <w:rPr>
          <w:sz w:val="22"/>
          <w:szCs w:val="22"/>
        </w:rPr>
        <w:t xml:space="preserve"> and 0.</w:t>
      </w:r>
      <w:r w:rsidR="005301A1">
        <w:rPr>
          <w:sz w:val="22"/>
          <w:szCs w:val="22"/>
        </w:rPr>
        <w:t>44</w:t>
      </w:r>
      <w:r w:rsidR="00047C2A">
        <w:rPr>
          <w:sz w:val="22"/>
          <w:szCs w:val="22"/>
        </w:rPr>
        <w:t xml:space="preserve"> %</w:t>
      </w:r>
      <w:r>
        <w:rPr>
          <w:sz w:val="22"/>
          <w:szCs w:val="22"/>
        </w:rPr>
        <w:t xml:space="preserve"> for the X-end and Y-end, respectively. The relative uncertainty in the masses of the </w:t>
      </w:r>
      <w:r w:rsidR="00D87C29">
        <w:rPr>
          <w:sz w:val="22"/>
          <w:szCs w:val="22"/>
        </w:rPr>
        <w:t>suspended</w:t>
      </w:r>
      <w:r w:rsidR="00D87C29">
        <w:rPr>
          <w:sz w:val="22"/>
          <w:szCs w:val="22"/>
        </w:rPr>
        <w:t xml:space="preserve"> </w:t>
      </w:r>
      <w:r>
        <w:rPr>
          <w:sz w:val="22"/>
          <w:szCs w:val="22"/>
        </w:rPr>
        <w:t>end mirrors is 0.0</w:t>
      </w:r>
      <w:r w:rsidR="005301A1">
        <w:rPr>
          <w:sz w:val="22"/>
          <w:szCs w:val="22"/>
        </w:rPr>
        <w:t>2</w:t>
      </w:r>
      <w:r w:rsidR="00047C2A">
        <w:rPr>
          <w:sz w:val="22"/>
          <w:szCs w:val="22"/>
        </w:rPr>
        <w:t xml:space="preserve"> %</w:t>
      </w:r>
      <w:r>
        <w:rPr>
          <w:sz w:val="22"/>
          <w:szCs w:val="22"/>
        </w:rPr>
        <w:t>.  The resulting uncertainties in the displacement fiducials given by Eq. 1 are 0.</w:t>
      </w:r>
      <w:r w:rsidR="005301A1">
        <w:rPr>
          <w:sz w:val="22"/>
          <w:szCs w:val="22"/>
        </w:rPr>
        <w:t>30</w:t>
      </w:r>
      <w:r w:rsidR="00047C2A">
        <w:rPr>
          <w:sz w:val="22"/>
          <w:szCs w:val="22"/>
        </w:rPr>
        <w:t xml:space="preserve"> %</w:t>
      </w:r>
      <w:r>
        <w:rPr>
          <w:sz w:val="22"/>
          <w:szCs w:val="22"/>
        </w:rPr>
        <w:t xml:space="preserve"> and 0.</w:t>
      </w:r>
      <w:r w:rsidR="005301A1">
        <w:rPr>
          <w:sz w:val="22"/>
          <w:szCs w:val="22"/>
        </w:rPr>
        <w:t>50</w:t>
      </w:r>
      <w:r w:rsidR="00047C2A">
        <w:rPr>
          <w:sz w:val="22"/>
          <w:szCs w:val="22"/>
        </w:rPr>
        <w:t xml:space="preserve"> %</w:t>
      </w:r>
      <w:r>
        <w:rPr>
          <w:sz w:val="22"/>
          <w:szCs w:val="22"/>
        </w:rPr>
        <w:t xml:space="preserve">. However, the simplified treatment presented here ignores two important effects that are discussed in detail in [6]: </w:t>
      </w:r>
      <w:r w:rsidR="008C2045">
        <w:rPr>
          <w:sz w:val="22"/>
          <w:szCs w:val="22"/>
        </w:rPr>
        <w:t>1)</w:t>
      </w:r>
      <w:r w:rsidR="00995947">
        <w:rPr>
          <w:sz w:val="22"/>
          <w:szCs w:val="22"/>
        </w:rPr>
        <w:t xml:space="preserve"> </w:t>
      </w:r>
      <w:r>
        <w:rPr>
          <w:sz w:val="22"/>
          <w:szCs w:val="22"/>
        </w:rPr>
        <w:t xml:space="preserve">a </w:t>
      </w:r>
      <w:r>
        <w:rPr>
          <w:sz w:val="22"/>
          <w:szCs w:val="22"/>
        </w:rPr>
        <w:t xml:space="preserve">dominant uncertainty introduced by unintended rotation of the mirror </w:t>
      </w:r>
      <w:r w:rsidR="00995947">
        <w:rPr>
          <w:sz w:val="22"/>
          <w:szCs w:val="22"/>
        </w:rPr>
        <w:t xml:space="preserve">induced by </w:t>
      </w:r>
      <w:proofErr w:type="spellStart"/>
      <w:r w:rsidR="00995947">
        <w:rPr>
          <w:sz w:val="22"/>
          <w:szCs w:val="22"/>
        </w:rPr>
        <w:t>Pcal</w:t>
      </w:r>
      <w:proofErr w:type="spellEnd"/>
      <w:r w:rsidR="00995947">
        <w:rPr>
          <w:sz w:val="22"/>
          <w:szCs w:val="22"/>
        </w:rPr>
        <w:t xml:space="preserve"> beam location errors </w:t>
      </w:r>
      <w:r>
        <w:rPr>
          <w:sz w:val="22"/>
          <w:szCs w:val="22"/>
        </w:rPr>
        <w:t xml:space="preserve">and </w:t>
      </w:r>
      <w:r w:rsidR="008C2045">
        <w:rPr>
          <w:sz w:val="22"/>
          <w:szCs w:val="22"/>
        </w:rPr>
        <w:t>2)</w:t>
      </w:r>
      <w:r w:rsidR="00995947">
        <w:rPr>
          <w:sz w:val="22"/>
          <w:szCs w:val="22"/>
        </w:rPr>
        <w:t xml:space="preserve"> </w:t>
      </w:r>
      <w:r>
        <w:rPr>
          <w:sz w:val="22"/>
          <w:szCs w:val="22"/>
        </w:rPr>
        <w:t xml:space="preserve">reduction of uncertainties that are not common to both end stations by using the </w:t>
      </w:r>
      <w:r w:rsidR="00995947">
        <w:rPr>
          <w:sz w:val="22"/>
          <w:szCs w:val="22"/>
        </w:rPr>
        <w:t xml:space="preserve"> </w:t>
      </w:r>
      <w:r>
        <w:rPr>
          <w:sz w:val="22"/>
          <w:szCs w:val="22"/>
        </w:rPr>
        <w:t xml:space="preserve">interferometer </w:t>
      </w:r>
      <w:r w:rsidR="00995947">
        <w:rPr>
          <w:sz w:val="22"/>
          <w:szCs w:val="22"/>
        </w:rPr>
        <w:t xml:space="preserve">output signal to </w:t>
      </w:r>
      <w:r>
        <w:rPr>
          <w:sz w:val="22"/>
          <w:szCs w:val="22"/>
        </w:rPr>
        <w:t xml:space="preserve">compare </w:t>
      </w:r>
      <w:r w:rsidR="00995947">
        <w:rPr>
          <w:sz w:val="22"/>
          <w:szCs w:val="22"/>
        </w:rPr>
        <w:t xml:space="preserve">the two </w:t>
      </w:r>
      <w:proofErr w:type="spellStart"/>
      <w:r w:rsidR="00995947">
        <w:rPr>
          <w:sz w:val="22"/>
          <w:szCs w:val="22"/>
        </w:rPr>
        <w:t>Pcal</w:t>
      </w:r>
      <w:proofErr w:type="spellEnd"/>
      <w:r w:rsidR="00995947">
        <w:rPr>
          <w:sz w:val="22"/>
          <w:szCs w:val="22"/>
        </w:rPr>
        <w:t xml:space="preserve"> </w:t>
      </w:r>
      <w:r>
        <w:rPr>
          <w:sz w:val="22"/>
          <w:szCs w:val="22"/>
        </w:rPr>
        <w:t xml:space="preserve">end station calibrations.  Taking both into account, the </w:t>
      </w:r>
      <w:r w:rsidR="008F5951">
        <w:rPr>
          <w:sz w:val="22"/>
          <w:szCs w:val="22"/>
        </w:rPr>
        <w:t>expanded</w:t>
      </w:r>
      <w:r>
        <w:rPr>
          <w:sz w:val="22"/>
          <w:szCs w:val="22"/>
        </w:rPr>
        <w:t xml:space="preserve"> uncertainties in the displacement fiducials </w:t>
      </w:r>
      <w:r w:rsidR="00822077">
        <w:rPr>
          <w:sz w:val="22"/>
          <w:szCs w:val="22"/>
        </w:rPr>
        <w:t xml:space="preserve">for the O4 observing run </w:t>
      </w:r>
      <w:r>
        <w:rPr>
          <w:sz w:val="22"/>
          <w:szCs w:val="22"/>
        </w:rPr>
        <w:t>for both end stations are 0.</w:t>
      </w:r>
      <w:r w:rsidR="008F5951">
        <w:rPr>
          <w:sz w:val="22"/>
          <w:szCs w:val="22"/>
        </w:rPr>
        <w:t>56</w:t>
      </w:r>
      <w:r w:rsidR="00047C2A">
        <w:rPr>
          <w:sz w:val="22"/>
          <w:szCs w:val="22"/>
        </w:rPr>
        <w:t xml:space="preserve"> %</w:t>
      </w:r>
      <w:r>
        <w:rPr>
          <w:sz w:val="22"/>
          <w:szCs w:val="22"/>
        </w:rPr>
        <w:t xml:space="preserve">. </w:t>
      </w:r>
      <w:r w:rsidR="00822077">
        <w:rPr>
          <w:sz w:val="22"/>
          <w:szCs w:val="22"/>
        </w:rPr>
        <w:t xml:space="preserve">These are less than the </w:t>
      </w:r>
      <w:r w:rsidR="00BF7003">
        <w:rPr>
          <w:sz w:val="22"/>
          <w:szCs w:val="22"/>
        </w:rPr>
        <w:t>0.</w:t>
      </w:r>
      <w:r w:rsidR="008F5951">
        <w:rPr>
          <w:sz w:val="22"/>
          <w:szCs w:val="22"/>
        </w:rPr>
        <w:t>82</w:t>
      </w:r>
      <w:r w:rsidR="00047C2A">
        <w:rPr>
          <w:sz w:val="22"/>
          <w:szCs w:val="22"/>
        </w:rPr>
        <w:t xml:space="preserve"> %</w:t>
      </w:r>
      <w:r w:rsidR="00BF7003">
        <w:rPr>
          <w:sz w:val="22"/>
          <w:szCs w:val="22"/>
        </w:rPr>
        <w:t xml:space="preserve"> </w:t>
      </w:r>
      <w:r w:rsidR="00822077">
        <w:rPr>
          <w:sz w:val="22"/>
          <w:szCs w:val="22"/>
        </w:rPr>
        <w:t>uncertainties for the O3 observing run</w:t>
      </w:r>
      <w:r w:rsidR="00BF7003">
        <w:rPr>
          <w:sz w:val="22"/>
          <w:szCs w:val="22"/>
        </w:rPr>
        <w:t>.</w:t>
      </w:r>
      <w:r w:rsidR="00822077">
        <w:rPr>
          <w:sz w:val="22"/>
          <w:szCs w:val="22"/>
        </w:rPr>
        <w:t xml:space="preserve"> Most of the improvement is due to the </w:t>
      </w:r>
      <w:r>
        <w:rPr>
          <w:sz w:val="22"/>
          <w:szCs w:val="22"/>
        </w:rPr>
        <w:t xml:space="preserve">reduced TS calibration </w:t>
      </w:r>
      <w:r w:rsidR="00822077">
        <w:rPr>
          <w:sz w:val="22"/>
          <w:szCs w:val="22"/>
        </w:rPr>
        <w:t xml:space="preserve">uncertainty from the </w:t>
      </w:r>
      <w:r w:rsidR="008D49F7">
        <w:rPr>
          <w:sz w:val="22"/>
          <w:szCs w:val="22"/>
        </w:rPr>
        <w:t xml:space="preserve">earlier </w:t>
      </w:r>
      <w:r w:rsidR="00822077">
        <w:rPr>
          <w:sz w:val="22"/>
          <w:szCs w:val="22"/>
        </w:rPr>
        <w:t>NIST/PTB bilateral comparison</w:t>
      </w:r>
      <w:r w:rsidR="00BF7003">
        <w:rPr>
          <w:sz w:val="22"/>
          <w:szCs w:val="22"/>
        </w:rPr>
        <w:t>,</w:t>
      </w:r>
      <w:r w:rsidR="00822077">
        <w:rPr>
          <w:sz w:val="22"/>
          <w:szCs w:val="22"/>
        </w:rPr>
        <w:t xml:space="preserve"> 0.</w:t>
      </w:r>
      <w:r w:rsidR="008F5951">
        <w:rPr>
          <w:sz w:val="22"/>
          <w:szCs w:val="22"/>
        </w:rPr>
        <w:t>20</w:t>
      </w:r>
      <w:r w:rsidR="00047C2A">
        <w:rPr>
          <w:sz w:val="22"/>
          <w:szCs w:val="22"/>
        </w:rPr>
        <w:t xml:space="preserve"> %</w:t>
      </w:r>
      <w:r w:rsidR="00822077">
        <w:rPr>
          <w:sz w:val="22"/>
          <w:szCs w:val="22"/>
        </w:rPr>
        <w:t xml:space="preserve"> vs. 0.</w:t>
      </w:r>
      <w:r w:rsidR="008F5951">
        <w:rPr>
          <w:sz w:val="22"/>
          <w:szCs w:val="22"/>
        </w:rPr>
        <w:t>63</w:t>
      </w:r>
      <w:r w:rsidR="00047C2A">
        <w:rPr>
          <w:sz w:val="22"/>
          <w:szCs w:val="22"/>
        </w:rPr>
        <w:t xml:space="preserve"> %</w:t>
      </w:r>
      <w:r w:rsidR="00822077">
        <w:rPr>
          <w:sz w:val="22"/>
          <w:szCs w:val="22"/>
        </w:rPr>
        <w:t xml:space="preserve"> for </w:t>
      </w:r>
      <w:r w:rsidR="00BF7003">
        <w:rPr>
          <w:sz w:val="22"/>
          <w:szCs w:val="22"/>
        </w:rPr>
        <w:t xml:space="preserve">the </w:t>
      </w:r>
      <w:r w:rsidR="00822077">
        <w:rPr>
          <w:sz w:val="22"/>
          <w:szCs w:val="22"/>
        </w:rPr>
        <w:t>O3</w:t>
      </w:r>
      <w:r w:rsidR="00BF7003">
        <w:rPr>
          <w:sz w:val="22"/>
          <w:szCs w:val="22"/>
        </w:rPr>
        <w:t xml:space="preserve"> run [6]</w:t>
      </w:r>
      <w:r w:rsidR="00822077">
        <w:rPr>
          <w:sz w:val="22"/>
          <w:szCs w:val="22"/>
        </w:rPr>
        <w:t xml:space="preserve">.  </w:t>
      </w:r>
    </w:p>
    <w:p w14:paraId="761338EF" w14:textId="26EDEC30" w:rsidR="003231A6" w:rsidRDefault="00000000">
      <w:pPr>
        <w:widowControl/>
        <w:pBdr>
          <w:top w:val="nil"/>
          <w:left w:val="nil"/>
          <w:bottom w:val="nil"/>
          <w:right w:val="nil"/>
          <w:between w:val="nil"/>
        </w:pBdr>
        <w:spacing w:line="280" w:lineRule="auto"/>
      </w:pPr>
      <w:r>
        <w:rPr>
          <w:noProof/>
          <w:sz w:val="22"/>
          <w:szCs w:val="22"/>
        </w:rPr>
        <w:drawing>
          <wp:inline distT="114300" distB="114300" distL="114300" distR="114300" wp14:anchorId="0010399A" wp14:editId="097E8052">
            <wp:extent cx="3007360" cy="260985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l="28230" t="4817" r="9989"/>
                    <a:stretch>
                      <a:fillRect/>
                    </a:stretch>
                  </pic:blipFill>
                  <pic:spPr>
                    <a:xfrm>
                      <a:off x="0" y="0"/>
                      <a:ext cx="3007360" cy="2609850"/>
                    </a:xfrm>
                    <a:prstGeom prst="rect">
                      <a:avLst/>
                    </a:prstGeom>
                    <a:ln/>
                  </pic:spPr>
                </pic:pic>
              </a:graphicData>
            </a:graphic>
          </wp:inline>
        </w:drawing>
      </w:r>
      <w:r>
        <w:t>Figure 2: Schematic of propagation of calibration from NIST/PTB to the transfer standards, then to gold standards for each project, then to working standards that are taken to the interferometer end stations to calibrate the receiver-side (Rx) power sensors.</w:t>
      </w:r>
    </w:p>
    <w:p w14:paraId="108AAC3B" w14:textId="77777777" w:rsidR="00237724" w:rsidRPr="00E6504D" w:rsidRDefault="00237724" w:rsidP="00E6504D">
      <w:pPr>
        <w:widowControl/>
        <w:pBdr>
          <w:top w:val="nil"/>
          <w:left w:val="nil"/>
          <w:bottom w:val="nil"/>
          <w:right w:val="nil"/>
          <w:between w:val="nil"/>
        </w:pBdr>
        <w:rPr>
          <w:sz w:val="16"/>
          <w:szCs w:val="16"/>
        </w:rPr>
      </w:pPr>
    </w:p>
    <w:p w14:paraId="5A7C0EF3" w14:textId="77777777" w:rsidR="003231A6" w:rsidRDefault="00000000">
      <w:pPr>
        <w:jc w:val="center"/>
        <w:rPr>
          <w:b/>
          <w:sz w:val="22"/>
          <w:szCs w:val="22"/>
        </w:rPr>
      </w:pPr>
      <w:r>
        <w:rPr>
          <w:b/>
          <w:sz w:val="22"/>
          <w:szCs w:val="22"/>
        </w:rPr>
        <w:t>REFERENCES</w:t>
      </w:r>
    </w:p>
    <w:p w14:paraId="6456704B" w14:textId="77777777" w:rsidR="003231A6" w:rsidRPr="00E6504D" w:rsidRDefault="003231A6" w:rsidP="00E6504D">
      <w:pPr>
        <w:widowControl/>
        <w:pBdr>
          <w:top w:val="nil"/>
          <w:left w:val="nil"/>
          <w:bottom w:val="nil"/>
          <w:right w:val="nil"/>
          <w:between w:val="nil"/>
        </w:pBdr>
        <w:ind w:left="202" w:hanging="202"/>
        <w:rPr>
          <w:sz w:val="16"/>
          <w:szCs w:val="16"/>
        </w:rPr>
      </w:pPr>
    </w:p>
    <w:p w14:paraId="631EDC4A" w14:textId="10DA09CF" w:rsidR="003231A6" w:rsidRDefault="00E6504D" w:rsidP="008C2045">
      <w:pPr>
        <w:widowControl/>
        <w:pBdr>
          <w:top w:val="nil"/>
          <w:left w:val="nil"/>
          <w:bottom w:val="nil"/>
          <w:right w:val="nil"/>
          <w:between w:val="nil"/>
        </w:pBdr>
        <w:ind w:left="202" w:hanging="202"/>
      </w:pPr>
      <w:r>
        <w:t>1</w:t>
      </w:r>
      <w:r w:rsidR="00405A77">
        <w:t>.</w:t>
      </w:r>
      <w:r w:rsidR="00405A77">
        <w:t xml:space="preserve"> </w:t>
      </w:r>
      <w:r w:rsidR="00000000">
        <w:rPr>
          <w:color w:val="000000"/>
        </w:rPr>
        <w:t xml:space="preserve">R. </w:t>
      </w:r>
      <w:proofErr w:type="spellStart"/>
      <w:r w:rsidR="00000000">
        <w:t>Essick</w:t>
      </w:r>
      <w:proofErr w:type="spellEnd"/>
      <w:r w:rsidR="00000000">
        <w:t>, Calibration</w:t>
      </w:r>
      <w:r w:rsidR="00405A77">
        <w:t xml:space="preserve"> </w:t>
      </w:r>
      <w:r w:rsidR="00000000">
        <w:t>uncertainty’s impact on</w:t>
      </w:r>
      <w:r w:rsidR="008C2045">
        <w:t xml:space="preserve"> </w:t>
      </w:r>
      <w:proofErr w:type="spellStart"/>
      <w:r w:rsidR="00000000">
        <w:t>gravita</w:t>
      </w:r>
      <w:proofErr w:type="spellEnd"/>
      <w:r w:rsidR="008C2045">
        <w:t>-</w:t>
      </w:r>
      <w:proofErr w:type="spellStart"/>
      <w:r w:rsidR="00000000">
        <w:t>tion</w:t>
      </w:r>
      <w:r w:rsidR="008C2045">
        <w:t>al</w:t>
      </w:r>
      <w:proofErr w:type="spellEnd"/>
      <w:r w:rsidR="008C2045">
        <w:t>-</w:t>
      </w:r>
      <w:r w:rsidR="00000000">
        <w:t xml:space="preserve">wave observations, Phys. Rev. D </w:t>
      </w:r>
      <w:r w:rsidR="00000000">
        <w:rPr>
          <w:b/>
        </w:rPr>
        <w:t>105</w:t>
      </w:r>
      <w:r w:rsidR="00000000">
        <w:t>, 082002, 2022.</w:t>
      </w:r>
    </w:p>
    <w:p w14:paraId="31F5E411" w14:textId="2D76D115" w:rsidR="003231A6" w:rsidRDefault="00000000" w:rsidP="00987B6A">
      <w:pPr>
        <w:widowControl/>
        <w:pBdr>
          <w:top w:val="nil"/>
          <w:left w:val="nil"/>
          <w:bottom w:val="nil"/>
          <w:right w:val="nil"/>
          <w:between w:val="nil"/>
        </w:pBdr>
        <w:ind w:left="202" w:hanging="202"/>
      </w:pPr>
      <w:r>
        <w:t>2.</w:t>
      </w:r>
      <w:r w:rsidR="00405A77">
        <w:t xml:space="preserve"> </w:t>
      </w:r>
      <w:r>
        <w:t xml:space="preserve">S. Karki, et. al., Toward </w:t>
      </w:r>
      <w:r w:rsidR="00987B6A">
        <w:t>c</w:t>
      </w:r>
      <w:r>
        <w:t xml:space="preserve">alibration of the </w:t>
      </w:r>
      <w:r w:rsidR="00987B6A">
        <w:t>g</w:t>
      </w:r>
      <w:r>
        <w:t xml:space="preserve">lobal </w:t>
      </w:r>
      <w:r w:rsidR="00987B6A">
        <w:t>n</w:t>
      </w:r>
      <w:r>
        <w:t xml:space="preserve">etwork of </w:t>
      </w:r>
      <w:r w:rsidR="00987B6A">
        <w:t>g</w:t>
      </w:r>
      <w:r>
        <w:t xml:space="preserve">ravitational </w:t>
      </w:r>
      <w:r w:rsidR="00987B6A">
        <w:t>w</w:t>
      </w:r>
      <w:r>
        <w:t xml:space="preserve">ave </w:t>
      </w:r>
      <w:r w:rsidR="00987B6A">
        <w:t>d</w:t>
      </w:r>
      <w:r>
        <w:t xml:space="preserve">etectors with </w:t>
      </w:r>
      <w:r w:rsidR="00987B6A">
        <w:t>s</w:t>
      </w:r>
      <w:r>
        <w:t>ub-</w:t>
      </w:r>
      <w:r w:rsidR="00987B6A">
        <w:t>p</w:t>
      </w:r>
      <w:r>
        <w:t xml:space="preserve">ercent </w:t>
      </w:r>
      <w:r w:rsidR="00987B6A">
        <w:t>a</w:t>
      </w:r>
      <w:r>
        <w:t>bsolute an</w:t>
      </w:r>
      <w:r w:rsidR="00987B6A">
        <w:t>d r</w:t>
      </w:r>
      <w:r>
        <w:t xml:space="preserve">elative </w:t>
      </w:r>
      <w:r w:rsidR="00987B6A">
        <w:t>a</w:t>
      </w:r>
      <w:r>
        <w:t xml:space="preserve">ccuracy, Galaxies, </w:t>
      </w:r>
      <w:r>
        <w:rPr>
          <w:b/>
        </w:rPr>
        <w:t>10</w:t>
      </w:r>
      <w:r>
        <w:t>, 42, 2022.</w:t>
      </w:r>
    </w:p>
    <w:p w14:paraId="413B2A35" w14:textId="70C13273" w:rsidR="003231A6" w:rsidRDefault="00000000" w:rsidP="00987B6A">
      <w:pPr>
        <w:widowControl/>
        <w:pBdr>
          <w:top w:val="nil"/>
          <w:left w:val="nil"/>
          <w:bottom w:val="nil"/>
          <w:right w:val="nil"/>
          <w:between w:val="nil"/>
        </w:pBdr>
        <w:ind w:left="202" w:hanging="202"/>
      </w:pPr>
      <w:r>
        <w:t>3.</w:t>
      </w:r>
      <w:r w:rsidR="00405A77">
        <w:t xml:space="preserve"> </w:t>
      </w:r>
      <w:r>
        <w:t xml:space="preserve">S. Karki, et al., The Advanced LIGO photon calibrators, Rev. Sci. </w:t>
      </w:r>
      <w:proofErr w:type="spellStart"/>
      <w:r>
        <w:t>Instrum</w:t>
      </w:r>
      <w:proofErr w:type="spellEnd"/>
      <w:r>
        <w:t xml:space="preserve">., </w:t>
      </w:r>
      <w:r>
        <w:rPr>
          <w:b/>
        </w:rPr>
        <w:t>87</w:t>
      </w:r>
      <w:r>
        <w:t>, 114503, 2016.</w:t>
      </w:r>
    </w:p>
    <w:p w14:paraId="15CEF86A" w14:textId="3DE1BD21" w:rsidR="003231A6" w:rsidRDefault="00000000" w:rsidP="00987B6A">
      <w:pPr>
        <w:widowControl/>
        <w:pBdr>
          <w:top w:val="nil"/>
          <w:left w:val="nil"/>
          <w:bottom w:val="nil"/>
          <w:right w:val="nil"/>
          <w:between w:val="nil"/>
        </w:pBdr>
        <w:ind w:left="202" w:hanging="202"/>
      </w:pPr>
      <w:r>
        <w:t xml:space="preserve">4. A. </w:t>
      </w:r>
      <w:proofErr w:type="spellStart"/>
      <w:r>
        <w:t>Vaskuri</w:t>
      </w:r>
      <w:proofErr w:type="spellEnd"/>
      <w:r>
        <w:t>, et al.</w:t>
      </w:r>
      <w:r w:rsidR="00987B6A">
        <w:t>,</w:t>
      </w:r>
      <w:r>
        <w:t xml:space="preserve"> High-accuracy room temperature planar absolute radiometer based on vertically aligned carbon nanotubes, Opt. Express, </w:t>
      </w:r>
      <w:r>
        <w:rPr>
          <w:b/>
        </w:rPr>
        <w:t>29</w:t>
      </w:r>
      <w:r>
        <w:t>, 22533, 2021.</w:t>
      </w:r>
    </w:p>
    <w:p w14:paraId="401CC716" w14:textId="571B7438" w:rsidR="003231A6" w:rsidRDefault="00000000" w:rsidP="00987B6A">
      <w:pPr>
        <w:widowControl/>
        <w:pBdr>
          <w:top w:val="nil"/>
          <w:left w:val="nil"/>
          <w:bottom w:val="nil"/>
          <w:right w:val="nil"/>
          <w:between w:val="nil"/>
        </w:pBdr>
        <w:ind w:left="202" w:hanging="202"/>
      </w:pPr>
      <w:r>
        <w:t xml:space="preserve">5. M. </w:t>
      </w:r>
      <w:proofErr w:type="spellStart"/>
      <w:r>
        <w:t>Spidell</w:t>
      </w:r>
      <w:proofErr w:type="spellEnd"/>
      <w:r>
        <w:t xml:space="preserve"> et al., A bilateral comparison of NIST and PTB laser power standards for scale realization confidence by gravitational wave observatories, </w:t>
      </w:r>
      <w:proofErr w:type="spellStart"/>
      <w:r>
        <w:t>Metrologia</w:t>
      </w:r>
      <w:proofErr w:type="spellEnd"/>
      <w:r>
        <w:t xml:space="preserve"> </w:t>
      </w:r>
      <w:r w:rsidR="00987B6A">
        <w:t xml:space="preserve">, </w:t>
      </w:r>
      <w:r>
        <w:rPr>
          <w:b/>
        </w:rPr>
        <w:t>58</w:t>
      </w:r>
      <w:r>
        <w:t>, 055011, 2022.</w:t>
      </w:r>
    </w:p>
    <w:p w14:paraId="2B0E62E5" w14:textId="77777777" w:rsidR="003231A6" w:rsidRDefault="00000000" w:rsidP="00987B6A">
      <w:pPr>
        <w:widowControl/>
        <w:pBdr>
          <w:top w:val="nil"/>
          <w:left w:val="nil"/>
          <w:bottom w:val="nil"/>
          <w:right w:val="nil"/>
          <w:between w:val="nil"/>
        </w:pBdr>
        <w:ind w:left="202" w:hanging="202"/>
      </w:pPr>
      <w:r>
        <w:t xml:space="preserve">6. D. Bhattacharjee, et al., Fiducial displacements with improved accuracy for the global network of gravitational wave detectors, Class. Quantum </w:t>
      </w:r>
      <w:proofErr w:type="spellStart"/>
      <w:r>
        <w:t>Grav</w:t>
      </w:r>
      <w:proofErr w:type="spellEnd"/>
      <w:r>
        <w:t xml:space="preserve">., </w:t>
      </w:r>
      <w:r>
        <w:rPr>
          <w:b/>
        </w:rPr>
        <w:t>38</w:t>
      </w:r>
      <w:r>
        <w:t>, 015009, 2021.</w:t>
      </w:r>
    </w:p>
    <w:sectPr w:rsidR="003231A6">
      <w:type w:val="continuous"/>
      <w:pgSz w:w="11906" w:h="16838"/>
      <w:pgMar w:top="1418" w:right="1134" w:bottom="1134" w:left="1134" w:header="851" w:footer="992" w:gutter="0"/>
      <w:cols w:num="2" w:space="720" w:equalWidth="0">
        <w:col w:w="4668" w:space="300"/>
        <w:col w:w="466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3EB9" w14:textId="77777777" w:rsidR="00181136" w:rsidRDefault="00181136">
      <w:r>
        <w:separator/>
      </w:r>
    </w:p>
  </w:endnote>
  <w:endnote w:type="continuationSeparator" w:id="0">
    <w:p w14:paraId="42E303E6" w14:textId="77777777" w:rsidR="00181136" w:rsidRDefault="0018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B0604020202020204"/>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3E3D" w14:textId="77777777" w:rsidR="003231A6" w:rsidRDefault="003231A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9E6F" w14:textId="77777777" w:rsidR="003231A6" w:rsidRDefault="003231A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73EE" w14:textId="77777777" w:rsidR="003231A6" w:rsidRDefault="003231A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EA2B" w14:textId="77777777" w:rsidR="00181136" w:rsidRDefault="00181136">
      <w:r>
        <w:separator/>
      </w:r>
    </w:p>
  </w:footnote>
  <w:footnote w:type="continuationSeparator" w:id="0">
    <w:p w14:paraId="20096932" w14:textId="77777777" w:rsidR="00181136" w:rsidRDefault="0018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8BEA" w14:textId="77777777" w:rsidR="003231A6" w:rsidRDefault="003231A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B58D" w14:textId="77777777" w:rsidR="003231A6" w:rsidRDefault="003231A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7722" w14:textId="77777777" w:rsidR="003231A6" w:rsidRDefault="003231A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3FE5"/>
    <w:multiLevelType w:val="hybridMultilevel"/>
    <w:tmpl w:val="4ACC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7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A6"/>
    <w:rsid w:val="00027339"/>
    <w:rsid w:val="00047C2A"/>
    <w:rsid w:val="000A44D3"/>
    <w:rsid w:val="00122F17"/>
    <w:rsid w:val="00181136"/>
    <w:rsid w:val="00237724"/>
    <w:rsid w:val="00313309"/>
    <w:rsid w:val="003231A6"/>
    <w:rsid w:val="003A2070"/>
    <w:rsid w:val="00405A77"/>
    <w:rsid w:val="00445E69"/>
    <w:rsid w:val="004D711C"/>
    <w:rsid w:val="005301A1"/>
    <w:rsid w:val="005931AA"/>
    <w:rsid w:val="006426BC"/>
    <w:rsid w:val="00654255"/>
    <w:rsid w:val="006C104E"/>
    <w:rsid w:val="006E2AE0"/>
    <w:rsid w:val="0074174E"/>
    <w:rsid w:val="007F7F31"/>
    <w:rsid w:val="00822077"/>
    <w:rsid w:val="00834AE1"/>
    <w:rsid w:val="008C2045"/>
    <w:rsid w:val="008D49F7"/>
    <w:rsid w:val="008F4E6F"/>
    <w:rsid w:val="008F5951"/>
    <w:rsid w:val="00987B6A"/>
    <w:rsid w:val="00995947"/>
    <w:rsid w:val="009C6416"/>
    <w:rsid w:val="00A8352E"/>
    <w:rsid w:val="00B612E4"/>
    <w:rsid w:val="00BF7003"/>
    <w:rsid w:val="00C202C8"/>
    <w:rsid w:val="00CD46C8"/>
    <w:rsid w:val="00D000AF"/>
    <w:rsid w:val="00D239AE"/>
    <w:rsid w:val="00D87C29"/>
    <w:rsid w:val="00DB5BD2"/>
    <w:rsid w:val="00E6504D"/>
    <w:rsid w:val="00F02FFE"/>
    <w:rsid w:val="00F4273E"/>
    <w:rsid w:val="00FE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52EF"/>
  <w15:docId w15:val="{EE3FC964-7B70-7347-90E9-1E69870E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4A"/>
    <w:pPr>
      <w:wordWrap w:val="0"/>
    </w:pPr>
    <w:rPr>
      <w:kern w:val="2"/>
      <w:lang w:eastAsia="ko-K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EWRADbody">
    <w:name w:val="NEWRAD_body"/>
    <w:rsid w:val="00BE1026"/>
    <w:pPr>
      <w:adjustRightInd w:val="0"/>
      <w:snapToGrid w:val="0"/>
      <w:spacing w:line="280" w:lineRule="exact"/>
    </w:pPr>
    <w:rPr>
      <w:rFonts w:eastAsia="Batang"/>
      <w:kern w:val="2"/>
      <w:sz w:val="22"/>
      <w:szCs w:val="22"/>
      <w:lang w:eastAsia="ko-KR"/>
    </w:rPr>
  </w:style>
  <w:style w:type="paragraph" w:customStyle="1" w:styleId="NEWRADtitle">
    <w:name w:val="NEWRAD_title"/>
    <w:basedOn w:val="NEWRADbody"/>
    <w:next w:val="NEWRADbody"/>
    <w:rsid w:val="00067404"/>
    <w:pPr>
      <w:jc w:val="center"/>
    </w:pPr>
    <w:rPr>
      <w:b/>
      <w:sz w:val="28"/>
      <w:szCs w:val="24"/>
    </w:rPr>
  </w:style>
  <w:style w:type="paragraph" w:customStyle="1" w:styleId="NEWRADauthor">
    <w:name w:val="NEWRAD_author"/>
    <w:basedOn w:val="NEWRADbody"/>
    <w:rsid w:val="00067404"/>
    <w:pPr>
      <w:spacing w:before="120" w:after="120"/>
      <w:jc w:val="center"/>
    </w:pPr>
    <w:rPr>
      <w:bCs/>
      <w:szCs w:val="20"/>
    </w:rPr>
  </w:style>
  <w:style w:type="paragraph" w:customStyle="1" w:styleId="NEWRADaffiliation">
    <w:name w:val="NEWRAD_affiliation"/>
    <w:basedOn w:val="NEWRADbody"/>
    <w:rsid w:val="00067404"/>
    <w:pPr>
      <w:jc w:val="center"/>
    </w:pPr>
    <w:rPr>
      <w:i/>
      <w:sz w:val="20"/>
      <w:szCs w:val="20"/>
    </w:rPr>
  </w:style>
  <w:style w:type="paragraph" w:customStyle="1" w:styleId="NEWRADabstract">
    <w:name w:val="NEWRAD_abstract"/>
    <w:basedOn w:val="NEWRADbody"/>
    <w:next w:val="NEWRADbody"/>
    <w:rsid w:val="00067404"/>
    <w:rPr>
      <w:b/>
    </w:rPr>
  </w:style>
  <w:style w:type="paragraph" w:customStyle="1" w:styleId="NEWRADsectiontitle">
    <w:name w:val="NEWRAD_section title"/>
    <w:basedOn w:val="NEWRADbody"/>
    <w:next w:val="NEWRADbody"/>
    <w:rsid w:val="009E3BE4"/>
    <w:pPr>
      <w:spacing w:before="200" w:after="120"/>
      <w:jc w:val="center"/>
    </w:pPr>
    <w:rPr>
      <w:b/>
      <w:caps/>
    </w:rPr>
  </w:style>
  <w:style w:type="paragraph" w:customStyle="1" w:styleId="NEWRADbodyindented">
    <w:name w:val="NEWRAD_body_indented"/>
    <w:basedOn w:val="NEWRADbody"/>
    <w:rsid w:val="00863877"/>
    <w:pPr>
      <w:ind w:firstLineChars="200" w:firstLine="200"/>
    </w:pPr>
  </w:style>
  <w:style w:type="paragraph" w:styleId="Caption">
    <w:name w:val="caption"/>
    <w:basedOn w:val="Normal"/>
    <w:next w:val="Normal"/>
    <w:qFormat/>
    <w:rsid w:val="00FB589A"/>
    <w:rPr>
      <w:b/>
      <w:bCs/>
    </w:rPr>
  </w:style>
  <w:style w:type="paragraph" w:customStyle="1" w:styleId="NEWRADcaption">
    <w:name w:val="NEWRAD_caption"/>
    <w:basedOn w:val="NEWRADbody"/>
    <w:rsid w:val="009E3BE4"/>
    <w:pPr>
      <w:spacing w:before="120" w:after="120" w:line="240" w:lineRule="auto"/>
    </w:pPr>
    <w:rPr>
      <w:sz w:val="20"/>
      <w:szCs w:val="18"/>
    </w:rPr>
  </w:style>
  <w:style w:type="paragraph" w:customStyle="1" w:styleId="NEWRADreferences">
    <w:name w:val="NEWRAD_references"/>
    <w:basedOn w:val="NEWRADbody"/>
    <w:rsid w:val="007F0F35"/>
    <w:pPr>
      <w:spacing w:line="240" w:lineRule="auto"/>
      <w:ind w:left="100" w:hangingChars="100" w:hanging="100"/>
    </w:pPr>
    <w:rPr>
      <w:sz w:val="20"/>
      <w:szCs w:val="20"/>
    </w:rPr>
  </w:style>
  <w:style w:type="paragraph" w:customStyle="1" w:styleId="NEWRADequations">
    <w:name w:val="NEWRAD_equations"/>
    <w:basedOn w:val="NEWRADbody"/>
    <w:next w:val="NEWRADbody"/>
    <w:rsid w:val="00FF1A39"/>
    <w:pPr>
      <w:tabs>
        <w:tab w:val="center" w:pos="2400"/>
        <w:tab w:val="right" w:pos="4800"/>
      </w:tabs>
      <w:spacing w:before="80" w:after="80"/>
      <w:jc w:val="left"/>
    </w:pPr>
  </w:style>
  <w:style w:type="paragraph" w:styleId="Header">
    <w:name w:val="header"/>
    <w:basedOn w:val="Normal"/>
    <w:link w:val="HeaderChar"/>
    <w:uiPriority w:val="99"/>
    <w:unhideWhenUsed/>
    <w:rsid w:val="00654B8F"/>
    <w:pPr>
      <w:tabs>
        <w:tab w:val="center" w:pos="4513"/>
        <w:tab w:val="right" w:pos="9026"/>
      </w:tabs>
    </w:pPr>
  </w:style>
  <w:style w:type="character" w:customStyle="1" w:styleId="HeaderChar">
    <w:name w:val="Header Char"/>
    <w:basedOn w:val="DefaultParagraphFont"/>
    <w:link w:val="Header"/>
    <w:uiPriority w:val="99"/>
    <w:rsid w:val="00654B8F"/>
    <w:rPr>
      <w:rFonts w:eastAsia="Times New Roman"/>
      <w:kern w:val="2"/>
      <w:lang w:eastAsia="ko-KR"/>
    </w:rPr>
  </w:style>
  <w:style w:type="paragraph" w:styleId="Footer">
    <w:name w:val="footer"/>
    <w:basedOn w:val="Normal"/>
    <w:link w:val="FooterChar"/>
    <w:uiPriority w:val="99"/>
    <w:unhideWhenUsed/>
    <w:rsid w:val="00654B8F"/>
    <w:pPr>
      <w:tabs>
        <w:tab w:val="center" w:pos="4513"/>
        <w:tab w:val="right" w:pos="9026"/>
      </w:tabs>
    </w:pPr>
  </w:style>
  <w:style w:type="character" w:customStyle="1" w:styleId="FooterChar">
    <w:name w:val="Footer Char"/>
    <w:basedOn w:val="DefaultParagraphFont"/>
    <w:link w:val="Footer"/>
    <w:uiPriority w:val="99"/>
    <w:rsid w:val="00654B8F"/>
    <w:rPr>
      <w:rFonts w:eastAsia="Times New Roman"/>
      <w:kern w:val="2"/>
      <w:lang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05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5zkPGOeBZkUhgbMcTPzDOUX3A==">AMUW2mXB8phbjwPqSWrWRNqiyGdIPV/QNX8adzGfYT9Aoc/czJNUO1crWuRAnUtyriu9q7cPe1cL/gkyPvVTDt1phwD5VoAtTTTwKvIjhWV4zRQsa6At3zo=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Seongchong Park</dc:creator>
  <cp:lastModifiedBy>Savage, Richard L. Jr</cp:lastModifiedBy>
  <cp:revision>2</cp:revision>
  <cp:lastPrinted>2023-03-15T15:23:00Z</cp:lastPrinted>
  <dcterms:created xsi:type="dcterms:W3CDTF">2023-03-15T16:59:00Z</dcterms:created>
  <dcterms:modified xsi:type="dcterms:W3CDTF">2023-03-15T16:59:00Z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SercoClassification">
    <vt:lpwstr>NPL Official</vt:lpwstr>
  </property>
  <property fmtid="{D5CDD505-2E9C-101B-9397-08002B2CF9AE}" pid="5" name="aliashDocumentMarking">
    <vt:lpwstr/>
  </property>
  <property fmtid="{D5CDD505-2E9C-101B-9397-08002B2CF9AE}" pid="6" name="ContentTypeId">
    <vt:lpwstr>0x0101008A00D96F2C6FD243B9CEBC324A826814</vt:lpwstr>
  </property>
  <property fmtid="{D5CDD505-2E9C-101B-9397-08002B2CF9AE}" pid="7" name="MSIP_Label_9df4b5af-ab42-45d5-91e7-45583bed1b2a_Enabled">
    <vt:lpwstr>true</vt:lpwstr>
  </property>
  <property fmtid="{D5CDD505-2E9C-101B-9397-08002B2CF9AE}" pid="8" name="MSIP_Label_9df4b5af-ab42-45d5-91e7-45583bed1b2a_SetDate">
    <vt:lpwstr>2022-12-16T15:48:00Z</vt:lpwstr>
  </property>
  <property fmtid="{D5CDD505-2E9C-101B-9397-08002B2CF9AE}" pid="9" name="MSIP_Label_9df4b5af-ab42-45d5-91e7-45583bed1b2a_Method">
    <vt:lpwstr>Standard</vt:lpwstr>
  </property>
  <property fmtid="{D5CDD505-2E9C-101B-9397-08002B2CF9AE}" pid="10" name="MSIP_Label_9df4b5af-ab42-45d5-91e7-45583bed1b2a_Name">
    <vt:lpwstr>9df4b5af-ab42-45d5-91e7-45583bed1b2a</vt:lpwstr>
  </property>
  <property fmtid="{D5CDD505-2E9C-101B-9397-08002B2CF9AE}" pid="11" name="MSIP_Label_9df4b5af-ab42-45d5-91e7-45583bed1b2a_SiteId">
    <vt:lpwstr>601e5460-b1bf-49c0-bd2d-e76ffc186a8d</vt:lpwstr>
  </property>
  <property fmtid="{D5CDD505-2E9C-101B-9397-08002B2CF9AE}" pid="12" name="MSIP_Label_9df4b5af-ab42-45d5-91e7-45583bed1b2a_ActionId">
    <vt:lpwstr>e8eb51e8-69d0-473e-bc01-cce92a8ee238</vt:lpwstr>
  </property>
  <property fmtid="{D5CDD505-2E9C-101B-9397-08002B2CF9AE}" pid="13" name="MSIP_Label_9df4b5af-ab42-45d5-91e7-45583bed1b2a_ContentBits">
    <vt:lpwstr>0</vt:lpwstr>
  </property>
</Properties>
</file>