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5F48B2" w:rsidRDefault="005F48B2" w:rsidP="7FD36302"/>
    <w:p w14:paraId="56FD31F0" w14:textId="77777777" w:rsidR="005F48B2" w:rsidRDefault="005F48B2">
      <w:pPr>
        <w:pStyle w:val="PlainText"/>
        <w:jc w:val="center"/>
        <w:rPr>
          <w:i/>
          <w:sz w:val="36"/>
        </w:rPr>
      </w:pPr>
      <w:r>
        <w:rPr>
          <w:i/>
          <w:sz w:val="36"/>
        </w:rPr>
        <w:t>LIGO Laboratory / LIGO Scientific Collaboration</w:t>
      </w:r>
    </w:p>
    <w:p w14:paraId="0A37501D" w14:textId="77777777" w:rsidR="005F48B2" w:rsidRDefault="005F48B2">
      <w:pPr>
        <w:pStyle w:val="PlainText"/>
        <w:jc w:val="center"/>
        <w:rPr>
          <w:sz w:val="36"/>
        </w:rPr>
      </w:pPr>
    </w:p>
    <w:p w14:paraId="5DAB6C7B" w14:textId="77777777" w:rsidR="005F48B2" w:rsidRDefault="005F48B2">
      <w:pPr>
        <w:pStyle w:val="PlainText"/>
        <w:jc w:val="left"/>
        <w:rPr>
          <w:sz w:val="36"/>
        </w:rPr>
      </w:pPr>
    </w:p>
    <w:p w14:paraId="06038572" w14:textId="1334F495" w:rsidR="005F48B2" w:rsidRDefault="004D5BA5"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916F8A">
        <w:t xml:space="preserve"> </w:t>
      </w:r>
      <w:r w:rsidR="00912440" w:rsidRPr="00912440">
        <w:t>T2000431</w:t>
      </w:r>
      <w:r w:rsidR="00F5292B">
        <w:t>-v</w:t>
      </w:r>
      <w:r w:rsidR="00BC6E36">
        <w:t>4</w:t>
      </w:r>
      <w:r w:rsidR="005F48B2">
        <w:tab/>
      </w:r>
      <w:r w:rsidR="005F48B2" w:rsidRPr="14B0DCA5">
        <w:rPr>
          <w:rFonts w:ascii="Times" w:hAnsi="Times"/>
          <w:i/>
          <w:iCs/>
          <w:color w:val="0000FF"/>
          <w:sz w:val="40"/>
          <w:szCs w:val="40"/>
        </w:rPr>
        <w:t>LIGO</w:t>
      </w:r>
      <w:r w:rsidR="005F48B2">
        <w:tab/>
      </w:r>
      <w:r w:rsidR="00BE0FCD">
        <w:t>9</w:t>
      </w:r>
      <w:r w:rsidR="00916F8A">
        <w:t xml:space="preserve"> </w:t>
      </w:r>
      <w:r w:rsidR="00BC6E36">
        <w:t>Sep</w:t>
      </w:r>
      <w:r w:rsidR="00916F8A">
        <w:t xml:space="preserve"> 2020</w:t>
      </w:r>
    </w:p>
    <w:p w14:paraId="02EB378F" w14:textId="77777777" w:rsidR="005F48B2" w:rsidRDefault="00BC6E36">
      <w:pPr>
        <w:pBdr>
          <w:top w:val="threeDEmboss" w:sz="24" w:space="1" w:color="auto"/>
          <w:left w:val="threeDEmboss" w:sz="24" w:space="4" w:color="auto"/>
          <w:bottom w:val="threeDEmboss" w:sz="24" w:space="1" w:color="auto"/>
          <w:right w:val="threeDEmboss" w:sz="24" w:space="4" w:color="auto"/>
        </w:pBdr>
      </w:pPr>
      <w:r>
        <w:rPr>
          <w:color w:val="2B579A"/>
          <w:shd w:val="clear" w:color="auto" w:fill="E6E6E6"/>
        </w:rPr>
        <w:pict w14:anchorId="503585AD">
          <v:rect id="_x0000_i1025" style="width:0;height:1.5pt" o:hralign="center" o:hrstd="t" o:hr="t" fillcolor="gray" stroked="f"/>
        </w:pict>
      </w:r>
    </w:p>
    <w:p w14:paraId="4C04127F" w14:textId="77777777" w:rsidR="004D5BA5" w:rsidRDefault="00916F8A">
      <w:pPr>
        <w:pStyle w:val="BodyText"/>
        <w:pBdr>
          <w:top w:val="threeDEmboss" w:sz="24" w:space="1" w:color="auto"/>
          <w:left w:val="threeDEmboss" w:sz="24" w:space="4" w:color="auto"/>
          <w:bottom w:val="threeDEmboss" w:sz="24" w:space="1" w:color="auto"/>
          <w:right w:val="threeDEmboss" w:sz="24" w:space="4" w:color="auto"/>
        </w:pBdr>
      </w:pPr>
      <w:r>
        <w:t>Filter Cavity</w:t>
      </w:r>
      <w:r w:rsidR="00FA5EDB" w:rsidRPr="00FA5EDB">
        <w:t xml:space="preserve"> Tube </w:t>
      </w:r>
      <w:r>
        <w:t xml:space="preserve">(FCT) </w:t>
      </w:r>
      <w:r w:rsidR="00FA5EDB" w:rsidRPr="00FA5EDB">
        <w:t>Support Loads</w:t>
      </w:r>
    </w:p>
    <w:p w14:paraId="6A05A809" w14:textId="77777777" w:rsidR="005F48B2" w:rsidRDefault="00BC6E36">
      <w:pPr>
        <w:pBdr>
          <w:top w:val="threeDEmboss" w:sz="24" w:space="1" w:color="auto"/>
          <w:left w:val="threeDEmboss" w:sz="24" w:space="4" w:color="auto"/>
          <w:bottom w:val="threeDEmboss" w:sz="24" w:space="1" w:color="auto"/>
          <w:right w:val="threeDEmboss" w:sz="24" w:space="4" w:color="auto"/>
        </w:pBdr>
      </w:pPr>
      <w:r>
        <w:rPr>
          <w:color w:val="2B579A"/>
          <w:shd w:val="clear" w:color="auto" w:fill="E6E6E6"/>
        </w:rPr>
        <w:pict w14:anchorId="5120B54A">
          <v:rect id="_x0000_i1026" style="width:0;height:1.5pt" o:hralign="center" o:hrstd="t" o:hr="t" fillcolor="gray" stroked="f"/>
        </w:pict>
      </w:r>
    </w:p>
    <w:p w14:paraId="3BB014B0" w14:textId="77777777" w:rsidR="00405A56" w:rsidRDefault="00E41653" w:rsidP="00737ACE">
      <w:pPr>
        <w:pBdr>
          <w:top w:val="threeDEmboss" w:sz="24" w:space="1" w:color="auto"/>
          <w:left w:val="threeDEmboss" w:sz="24" w:space="4" w:color="auto"/>
          <w:bottom w:val="threeDEmboss" w:sz="24" w:space="1" w:color="auto"/>
          <w:right w:val="threeDEmboss" w:sz="24" w:space="4" w:color="auto"/>
        </w:pBdr>
        <w:jc w:val="center"/>
      </w:pPr>
      <w:r>
        <w:t>Dennis Coyne</w:t>
      </w:r>
      <w:r w:rsidR="00916F8A">
        <w:t>, Stephen Appert</w:t>
      </w:r>
    </w:p>
    <w:p w14:paraId="5A39BBE3" w14:textId="77777777" w:rsidR="00737ACE" w:rsidRDefault="00737ACE" w:rsidP="00737ACE">
      <w:pPr>
        <w:pBdr>
          <w:top w:val="threeDEmboss" w:sz="24" w:space="1" w:color="auto"/>
          <w:left w:val="threeDEmboss" w:sz="24" w:space="4" w:color="auto"/>
          <w:bottom w:val="threeDEmboss" w:sz="24" w:space="1" w:color="auto"/>
          <w:right w:val="threeDEmboss" w:sz="24" w:space="4" w:color="auto"/>
        </w:pBdr>
        <w:jc w:val="center"/>
      </w:pPr>
    </w:p>
    <w:p w14:paraId="44D43C5D" w14:textId="77777777" w:rsidR="005F48B2" w:rsidRDefault="005F48B2">
      <w:pPr>
        <w:pStyle w:val="PlainText"/>
        <w:spacing w:before="0"/>
        <w:jc w:val="center"/>
      </w:pPr>
      <w:r>
        <w:t>Distribution of this document:</w:t>
      </w:r>
    </w:p>
    <w:p w14:paraId="3B31C6F1" w14:textId="77777777" w:rsidR="005F48B2" w:rsidRDefault="00E66298">
      <w:pPr>
        <w:pStyle w:val="PlainText"/>
        <w:spacing w:before="0"/>
        <w:jc w:val="center"/>
      </w:pPr>
      <w:r>
        <w:t>LIGO Scientific</w:t>
      </w:r>
      <w:r w:rsidR="005F48B2">
        <w:t xml:space="preserve"> Collaboration</w:t>
      </w:r>
    </w:p>
    <w:p w14:paraId="41C8F396" w14:textId="77777777" w:rsidR="005F48B2" w:rsidRDefault="005F48B2">
      <w:pPr>
        <w:pStyle w:val="PlainText"/>
        <w:spacing w:before="0"/>
        <w:jc w:val="center"/>
      </w:pPr>
    </w:p>
    <w:p w14:paraId="393AB2AF" w14:textId="77777777" w:rsidR="005F48B2" w:rsidRDefault="005F48B2">
      <w:pPr>
        <w:pStyle w:val="PlainText"/>
        <w:spacing w:before="0"/>
        <w:jc w:val="center"/>
      </w:pPr>
      <w:r>
        <w:t>This is an internal working note</w:t>
      </w:r>
    </w:p>
    <w:p w14:paraId="23F97442" w14:textId="77777777" w:rsidR="005F48B2" w:rsidRDefault="00E66298">
      <w:pPr>
        <w:pStyle w:val="PlainText"/>
        <w:spacing w:before="0"/>
        <w:jc w:val="center"/>
      </w:pPr>
      <w:r>
        <w:t>of the LIGO Laboratory</w:t>
      </w:r>
      <w:r w:rsidR="005F48B2">
        <w:t>.</w:t>
      </w:r>
    </w:p>
    <w:p w14:paraId="72A3D3EC" w14:textId="77777777" w:rsidR="005F48B2" w:rsidRDefault="005F48B2">
      <w:pPr>
        <w:pStyle w:val="PlainText"/>
        <w:spacing w:before="0"/>
        <w:jc w:val="left"/>
      </w:pPr>
    </w:p>
    <w:p w14:paraId="0D0B940D" w14:textId="77777777" w:rsidR="008E7496" w:rsidRDefault="008E7496">
      <w:pPr>
        <w:pStyle w:val="PlainText"/>
        <w:spacing w:before="0"/>
        <w:jc w:val="left"/>
      </w:pPr>
    </w:p>
    <w:p w14:paraId="0E27B00A" w14:textId="77777777"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14:paraId="735805B9" w14:textId="77777777">
        <w:tc>
          <w:tcPr>
            <w:tcW w:w="4909" w:type="dxa"/>
          </w:tcPr>
          <w:p w14:paraId="2EE058F7" w14:textId="77777777" w:rsidR="005F48B2" w:rsidRDefault="005F48B2">
            <w:pPr>
              <w:pStyle w:val="PlainText"/>
              <w:spacing w:before="0"/>
              <w:jc w:val="center"/>
              <w:rPr>
                <w:b/>
                <w:bCs/>
                <w:color w:val="808080"/>
              </w:rPr>
            </w:pPr>
            <w:r>
              <w:rPr>
                <w:b/>
                <w:bCs/>
                <w:color w:val="808080"/>
              </w:rPr>
              <w:t>California Institute of Technology</w:t>
            </w:r>
          </w:p>
          <w:p w14:paraId="2B9924ED"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5B77D5D6" w14:textId="77777777" w:rsidR="005F48B2" w:rsidRDefault="005F48B2">
            <w:pPr>
              <w:pStyle w:val="PlainText"/>
              <w:spacing w:before="0"/>
              <w:jc w:val="center"/>
              <w:rPr>
                <w:b/>
                <w:bCs/>
                <w:color w:val="808080"/>
              </w:rPr>
            </w:pPr>
            <w:r>
              <w:rPr>
                <w:b/>
                <w:bCs/>
                <w:color w:val="808080"/>
              </w:rPr>
              <w:t>Massachusetts Institute of Technology</w:t>
            </w:r>
          </w:p>
          <w:p w14:paraId="548AEE25" w14:textId="77777777" w:rsidR="005F48B2" w:rsidRDefault="00E66298" w:rsidP="008E7496">
            <w:pPr>
              <w:pStyle w:val="PlainText"/>
              <w:spacing w:before="0"/>
              <w:jc w:val="center"/>
              <w:rPr>
                <w:color w:val="808080"/>
              </w:rPr>
            </w:pPr>
            <w:r>
              <w:rPr>
                <w:b/>
                <w:bCs/>
                <w:color w:val="808080"/>
              </w:rPr>
              <w:t>LIGO Project</w:t>
            </w:r>
          </w:p>
        </w:tc>
      </w:tr>
      <w:tr w:rsidR="005F48B2" w14:paraId="62268027" w14:textId="77777777">
        <w:tc>
          <w:tcPr>
            <w:tcW w:w="4909" w:type="dxa"/>
          </w:tcPr>
          <w:p w14:paraId="60061E4C" w14:textId="77777777" w:rsidR="005F48B2" w:rsidRDefault="005F48B2">
            <w:pPr>
              <w:pStyle w:val="PlainText"/>
              <w:spacing w:before="0"/>
              <w:jc w:val="center"/>
              <w:rPr>
                <w:b/>
                <w:bCs/>
                <w:color w:val="808080"/>
              </w:rPr>
            </w:pPr>
          </w:p>
          <w:p w14:paraId="44EAFD9C" w14:textId="77777777" w:rsidR="008E7496" w:rsidRDefault="008E7496">
            <w:pPr>
              <w:pStyle w:val="PlainText"/>
              <w:spacing w:before="0"/>
              <w:jc w:val="center"/>
              <w:rPr>
                <w:b/>
                <w:bCs/>
                <w:color w:val="808080"/>
              </w:rPr>
            </w:pPr>
          </w:p>
          <w:p w14:paraId="4B94D5A5" w14:textId="77777777" w:rsidR="008E7496" w:rsidRDefault="008E7496">
            <w:pPr>
              <w:pStyle w:val="PlainText"/>
              <w:spacing w:before="0"/>
              <w:jc w:val="center"/>
              <w:rPr>
                <w:b/>
                <w:bCs/>
                <w:color w:val="808080"/>
              </w:rPr>
            </w:pPr>
          </w:p>
          <w:p w14:paraId="3DEEC669" w14:textId="77777777" w:rsidR="008E7496" w:rsidRDefault="008E7496">
            <w:pPr>
              <w:pStyle w:val="PlainText"/>
              <w:spacing w:before="0"/>
              <w:jc w:val="center"/>
              <w:rPr>
                <w:b/>
                <w:bCs/>
                <w:color w:val="808080"/>
              </w:rPr>
            </w:pPr>
          </w:p>
          <w:p w14:paraId="2D9200FB"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14:paraId="3656B9AB" w14:textId="77777777" w:rsidR="005F48B2" w:rsidRDefault="005F48B2">
            <w:pPr>
              <w:pStyle w:val="PlainText"/>
              <w:spacing w:before="0"/>
              <w:jc w:val="center"/>
              <w:rPr>
                <w:b/>
                <w:bCs/>
                <w:color w:val="808080"/>
              </w:rPr>
            </w:pPr>
          </w:p>
        </w:tc>
        <w:tc>
          <w:tcPr>
            <w:tcW w:w="4909" w:type="dxa"/>
          </w:tcPr>
          <w:p w14:paraId="45FB0818" w14:textId="77777777" w:rsidR="005F48B2" w:rsidRDefault="005F48B2">
            <w:pPr>
              <w:pStyle w:val="PlainText"/>
              <w:spacing w:before="0"/>
              <w:jc w:val="center"/>
              <w:rPr>
                <w:b/>
                <w:bCs/>
                <w:color w:val="808080"/>
              </w:rPr>
            </w:pPr>
          </w:p>
          <w:p w14:paraId="049F31CB" w14:textId="77777777" w:rsidR="008E7496" w:rsidRDefault="008E7496">
            <w:pPr>
              <w:pStyle w:val="PlainText"/>
              <w:spacing w:before="0"/>
              <w:jc w:val="center"/>
              <w:rPr>
                <w:b/>
                <w:bCs/>
                <w:color w:val="808080"/>
              </w:rPr>
            </w:pPr>
          </w:p>
          <w:p w14:paraId="53128261" w14:textId="77777777" w:rsidR="008E7496" w:rsidRDefault="008E7496">
            <w:pPr>
              <w:pStyle w:val="PlainText"/>
              <w:spacing w:before="0"/>
              <w:jc w:val="center"/>
              <w:rPr>
                <w:b/>
                <w:bCs/>
                <w:color w:val="808080"/>
              </w:rPr>
            </w:pPr>
          </w:p>
          <w:p w14:paraId="62486C05" w14:textId="77777777" w:rsidR="008E7496" w:rsidRDefault="008E7496">
            <w:pPr>
              <w:pStyle w:val="PlainText"/>
              <w:spacing w:before="0"/>
              <w:jc w:val="center"/>
              <w:rPr>
                <w:b/>
                <w:bCs/>
                <w:color w:val="808080"/>
              </w:rPr>
            </w:pPr>
          </w:p>
          <w:p w14:paraId="013CF8C5"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14:paraId="4101652C" w14:textId="77777777" w:rsidR="005F48B2" w:rsidRDefault="005F48B2">
            <w:pPr>
              <w:pStyle w:val="PlainText"/>
              <w:spacing w:before="0"/>
              <w:jc w:val="center"/>
              <w:rPr>
                <w:b/>
                <w:bCs/>
                <w:color w:val="808080"/>
              </w:rPr>
            </w:pPr>
          </w:p>
        </w:tc>
      </w:tr>
    </w:tbl>
    <w:p w14:paraId="2CBB0047" w14:textId="77777777" w:rsidR="005F48B2" w:rsidRDefault="005F48B2">
      <w:pPr>
        <w:pStyle w:val="PlainText"/>
        <w:jc w:val="center"/>
      </w:pPr>
      <w:r>
        <w:t>http://www.ligo.caltech.edu/</w:t>
      </w:r>
    </w:p>
    <w:p w14:paraId="4B99056E" w14:textId="0A99EE06" w:rsidR="009877A1" w:rsidRDefault="005F48B2" w:rsidP="009877A1">
      <w:r>
        <w:br w:type="page"/>
      </w:r>
    </w:p>
    <w:p w14:paraId="4E4D15F3" w14:textId="08F26E59" w:rsidR="0064073B" w:rsidRPr="00EF00DF" w:rsidRDefault="0064073B" w:rsidP="009877A1">
      <w:pPr>
        <w:rPr>
          <w:b/>
        </w:rPr>
      </w:pPr>
      <w:r w:rsidRPr="00EF00DF">
        <w:rPr>
          <w:b/>
        </w:rPr>
        <w:lastRenderedPageBreak/>
        <w:t>Revision History</w:t>
      </w:r>
    </w:p>
    <w:tbl>
      <w:tblPr>
        <w:tblStyle w:val="TableGrid"/>
        <w:tblW w:w="0" w:type="auto"/>
        <w:tblLook w:val="04A0" w:firstRow="1" w:lastRow="0" w:firstColumn="1" w:lastColumn="0" w:noHBand="0" w:noVBand="1"/>
      </w:tblPr>
      <w:tblGrid>
        <w:gridCol w:w="1016"/>
        <w:gridCol w:w="1499"/>
        <w:gridCol w:w="7065"/>
      </w:tblGrid>
      <w:tr w:rsidR="0064073B" w:rsidRPr="00EF00DF" w14:paraId="7CDD04D9" w14:textId="77777777" w:rsidTr="00527005">
        <w:tc>
          <w:tcPr>
            <w:tcW w:w="1016" w:type="dxa"/>
          </w:tcPr>
          <w:p w14:paraId="4CBFC5A2" w14:textId="4BF9F30C" w:rsidR="0064073B" w:rsidRPr="00EF00DF" w:rsidRDefault="0064073B" w:rsidP="009877A1">
            <w:pPr>
              <w:rPr>
                <w:b/>
              </w:rPr>
            </w:pPr>
            <w:r w:rsidRPr="00EF00DF">
              <w:rPr>
                <w:b/>
              </w:rPr>
              <w:t>Version</w:t>
            </w:r>
          </w:p>
        </w:tc>
        <w:tc>
          <w:tcPr>
            <w:tcW w:w="1499" w:type="dxa"/>
          </w:tcPr>
          <w:p w14:paraId="740DC17F" w14:textId="610FEB7D" w:rsidR="0064073B" w:rsidRPr="00EF00DF" w:rsidRDefault="0064073B" w:rsidP="009877A1">
            <w:pPr>
              <w:rPr>
                <w:b/>
              </w:rPr>
            </w:pPr>
            <w:r w:rsidRPr="00EF00DF">
              <w:rPr>
                <w:b/>
              </w:rPr>
              <w:t>Date</w:t>
            </w:r>
          </w:p>
        </w:tc>
        <w:tc>
          <w:tcPr>
            <w:tcW w:w="7065" w:type="dxa"/>
          </w:tcPr>
          <w:p w14:paraId="4EC529AF" w14:textId="0E268C8E" w:rsidR="0064073B" w:rsidRPr="00EF00DF" w:rsidRDefault="0064073B" w:rsidP="009877A1">
            <w:pPr>
              <w:rPr>
                <w:b/>
              </w:rPr>
            </w:pPr>
            <w:r w:rsidRPr="00EF00DF">
              <w:rPr>
                <w:b/>
              </w:rPr>
              <w:t>Changes</w:t>
            </w:r>
          </w:p>
        </w:tc>
      </w:tr>
      <w:tr w:rsidR="0064073B" w14:paraId="77396AA3" w14:textId="77777777" w:rsidTr="00527005">
        <w:tc>
          <w:tcPr>
            <w:tcW w:w="1016" w:type="dxa"/>
          </w:tcPr>
          <w:p w14:paraId="460FF6B6" w14:textId="669A5E64" w:rsidR="0064073B" w:rsidRDefault="0064073B" w:rsidP="009877A1">
            <w:r>
              <w:t>v1</w:t>
            </w:r>
          </w:p>
        </w:tc>
        <w:tc>
          <w:tcPr>
            <w:tcW w:w="1499" w:type="dxa"/>
          </w:tcPr>
          <w:p w14:paraId="6D7883F3" w14:textId="37315DFC" w:rsidR="0064073B" w:rsidRDefault="0064073B" w:rsidP="009877A1">
            <w:r>
              <w:t>6 July 2020</w:t>
            </w:r>
          </w:p>
        </w:tc>
        <w:tc>
          <w:tcPr>
            <w:tcW w:w="7065" w:type="dxa"/>
          </w:tcPr>
          <w:p w14:paraId="436AE754" w14:textId="26D208B0" w:rsidR="0064073B" w:rsidRDefault="0064073B" w:rsidP="009877A1">
            <w:r w:rsidRPr="0076411F">
              <w:rPr>
                <w:sz w:val="20"/>
              </w:rPr>
              <w:t>Initial Release</w:t>
            </w:r>
          </w:p>
        </w:tc>
      </w:tr>
      <w:tr w:rsidR="0076411F" w14:paraId="1D00B64A" w14:textId="77777777" w:rsidTr="00527005">
        <w:tc>
          <w:tcPr>
            <w:tcW w:w="1016" w:type="dxa"/>
          </w:tcPr>
          <w:p w14:paraId="4E57A0DE" w14:textId="2DC73DEA" w:rsidR="0076411F" w:rsidRDefault="0076411F" w:rsidP="0076411F">
            <w:r>
              <w:t>v2</w:t>
            </w:r>
          </w:p>
        </w:tc>
        <w:tc>
          <w:tcPr>
            <w:tcW w:w="1499" w:type="dxa"/>
          </w:tcPr>
          <w:p w14:paraId="12C34529" w14:textId="6DCA0E29" w:rsidR="0076411F" w:rsidRDefault="0076411F" w:rsidP="009877A1">
            <w:r>
              <w:t>13 July 2020</w:t>
            </w:r>
          </w:p>
        </w:tc>
        <w:tc>
          <w:tcPr>
            <w:tcW w:w="7065" w:type="dxa"/>
          </w:tcPr>
          <w:p w14:paraId="6840E792" w14:textId="3D054ADD" w:rsidR="0076411F" w:rsidRPr="0076411F" w:rsidRDefault="0076411F" w:rsidP="0076411F">
            <w:pPr>
              <w:jc w:val="left"/>
              <w:rPr>
                <w:sz w:val="20"/>
              </w:rPr>
            </w:pPr>
            <w:r w:rsidRPr="0076411F">
              <w:rPr>
                <w:sz w:val="20"/>
              </w:rPr>
              <w:t>corrected the BTE floor slab drawing to the final version</w:t>
            </w:r>
          </w:p>
        </w:tc>
      </w:tr>
      <w:tr w:rsidR="0064073B" w14:paraId="4F84D3EB" w14:textId="77777777" w:rsidTr="00527005">
        <w:tc>
          <w:tcPr>
            <w:tcW w:w="1016" w:type="dxa"/>
          </w:tcPr>
          <w:p w14:paraId="70BCE958" w14:textId="07CF0081" w:rsidR="0064073B" w:rsidRDefault="0076411F" w:rsidP="0076411F">
            <w:r>
              <w:t>v3</w:t>
            </w:r>
          </w:p>
        </w:tc>
        <w:tc>
          <w:tcPr>
            <w:tcW w:w="1499" w:type="dxa"/>
          </w:tcPr>
          <w:p w14:paraId="1A50D82C" w14:textId="19470B3D" w:rsidR="0064073B" w:rsidRDefault="00F378FB" w:rsidP="009877A1">
            <w:r>
              <w:t>24</w:t>
            </w:r>
            <w:r w:rsidR="0064073B">
              <w:t xml:space="preserve"> July 2020</w:t>
            </w:r>
          </w:p>
        </w:tc>
        <w:tc>
          <w:tcPr>
            <w:tcW w:w="7065" w:type="dxa"/>
          </w:tcPr>
          <w:p w14:paraId="6BAD2917" w14:textId="1AF826B7" w:rsidR="0064073B" w:rsidRPr="00407ADC" w:rsidRDefault="00A70234" w:rsidP="00407ADC">
            <w:pPr>
              <w:pStyle w:val="ListParagraph"/>
              <w:numPr>
                <w:ilvl w:val="0"/>
                <w:numId w:val="11"/>
              </w:numPr>
              <w:ind w:left="430"/>
              <w:jc w:val="left"/>
              <w:rPr>
                <w:sz w:val="20"/>
              </w:rPr>
            </w:pPr>
            <w:r w:rsidRPr="00407ADC">
              <w:rPr>
                <w:sz w:val="20"/>
              </w:rPr>
              <w:t>The use of "uncracked" concrete tables as assumed in –v1, for determining the strength of the anchors. The Hilti Anchor Fastening Technical Guide (ed. 19)  states: "Both ACI 318 and the International Building Code conservatively assume cracked concrete as the baseline condition for the design of cast-in-place and post-installed anchors since the existence of cracks in the vicinity of the anchor can result in a reduced ultimate load capacity and increased displacement at ultimate load compared to uncracked concrete conditions. "</w:t>
            </w:r>
            <w:r w:rsidR="00EF00DF" w:rsidRPr="00407ADC">
              <w:rPr>
                <w:sz w:val="20"/>
              </w:rPr>
              <w:br/>
            </w:r>
            <w:r w:rsidRPr="00407ADC">
              <w:rPr>
                <w:sz w:val="20"/>
              </w:rPr>
              <w:t>The use of “cracked” concrete has been assumed in –v2 in order to calculate the factors of safety for the anchors.</w:t>
            </w:r>
          </w:p>
          <w:p w14:paraId="47BAF2D1" w14:textId="24541D28" w:rsidR="00F378FB" w:rsidRPr="00407ADC" w:rsidRDefault="003E7BB7" w:rsidP="00407ADC">
            <w:pPr>
              <w:pStyle w:val="ListParagraph"/>
              <w:numPr>
                <w:ilvl w:val="0"/>
                <w:numId w:val="11"/>
              </w:numPr>
              <w:ind w:left="430"/>
              <w:jc w:val="left"/>
              <w:rPr>
                <w:sz w:val="20"/>
              </w:rPr>
            </w:pPr>
            <w:r w:rsidRPr="00407ADC">
              <w:rPr>
                <w:sz w:val="20"/>
              </w:rPr>
              <w:t>The bellows (aka expansion joint) spring rate used in –v1 was from the conceptual design document, T</w:t>
            </w:r>
            <w:r w:rsidR="00D10F2A" w:rsidRPr="00407ADC">
              <w:rPr>
                <w:sz w:val="20"/>
              </w:rPr>
              <w:t>2000002-v2:</w:t>
            </w:r>
            <w:r w:rsidR="00D10F2A" w:rsidRPr="00407ADC">
              <w:rPr>
                <w:sz w:val="20"/>
              </w:rPr>
              <w:br/>
              <w:t>17,162 N/m (98 lbf/in), axial</w:t>
            </w:r>
            <w:r w:rsidR="00D10F2A" w:rsidRPr="00407ADC">
              <w:rPr>
                <w:sz w:val="20"/>
              </w:rPr>
              <w:br/>
              <w:t>39,003 N/m, lateral</w:t>
            </w:r>
            <w:r w:rsidR="00D10F2A" w:rsidRPr="00407ADC">
              <w:rPr>
                <w:sz w:val="20"/>
              </w:rPr>
              <w:br/>
              <w:t>350,299 N/rad, torsional</w:t>
            </w:r>
            <w:r w:rsidR="00D10F2A" w:rsidRPr="00407ADC">
              <w:rPr>
                <w:sz w:val="20"/>
              </w:rPr>
              <w:br/>
            </w:r>
            <w:r w:rsidR="00EF00DF" w:rsidRPr="00407ADC">
              <w:rPr>
                <w:sz w:val="20"/>
              </w:rPr>
              <w:t>T</w:t>
            </w:r>
            <w:r w:rsidRPr="00407ADC">
              <w:rPr>
                <w:sz w:val="20"/>
              </w:rPr>
              <w:t>he manufacturer has recently provided a</w:t>
            </w:r>
            <w:r w:rsidR="00D10F2A" w:rsidRPr="00407ADC">
              <w:rPr>
                <w:sz w:val="20"/>
              </w:rPr>
              <w:t xml:space="preserve"> design with a reference axial </w:t>
            </w:r>
            <w:r w:rsidRPr="00407ADC">
              <w:rPr>
                <w:sz w:val="20"/>
              </w:rPr>
              <w:t>spring rate of 191 lbf/in.</w:t>
            </w:r>
            <w:r w:rsidR="00D10F2A" w:rsidRPr="00407ADC">
              <w:rPr>
                <w:sz w:val="20"/>
              </w:rPr>
              <w:t xml:space="preserve"> </w:t>
            </w:r>
            <w:r w:rsidR="00F378FB" w:rsidRPr="00407ADC">
              <w:rPr>
                <w:sz w:val="20"/>
              </w:rPr>
              <w:t xml:space="preserve">The </w:t>
            </w:r>
            <w:r w:rsidR="00D10F2A" w:rsidRPr="00407ADC">
              <w:rPr>
                <w:sz w:val="20"/>
              </w:rPr>
              <w:t xml:space="preserve">EJMA guidelines </w:t>
            </w:r>
            <w:r w:rsidR="00F378FB" w:rsidRPr="00407ADC">
              <w:rPr>
                <w:sz w:val="20"/>
              </w:rPr>
              <w:t>(6</w:t>
            </w:r>
            <w:r w:rsidR="00F378FB" w:rsidRPr="00407ADC">
              <w:rPr>
                <w:sz w:val="20"/>
                <w:vertAlign w:val="superscript"/>
              </w:rPr>
              <w:t>th</w:t>
            </w:r>
            <w:r w:rsidR="00F378FB" w:rsidRPr="00407ADC">
              <w:rPr>
                <w:sz w:val="20"/>
              </w:rPr>
              <w:t xml:space="preserve"> ed. 1993) were used to</w:t>
            </w:r>
            <w:r w:rsidR="00D10F2A" w:rsidRPr="00407ADC">
              <w:rPr>
                <w:sz w:val="20"/>
              </w:rPr>
              <w:t xml:space="preserve"> calculate the following spring rates:</w:t>
            </w:r>
            <w:r w:rsidR="00D10F2A" w:rsidRPr="00407ADC">
              <w:rPr>
                <w:sz w:val="20"/>
              </w:rPr>
              <w:br/>
              <w:t>33,381 N/m (191 lbf/in), axial</w:t>
            </w:r>
            <w:r w:rsidR="00D10F2A" w:rsidRPr="00407ADC">
              <w:rPr>
                <w:sz w:val="20"/>
              </w:rPr>
              <w:br/>
              <w:t>125,979 N/m, lateral</w:t>
            </w:r>
            <w:r w:rsidR="00D10F2A" w:rsidRPr="00407ADC">
              <w:rPr>
                <w:sz w:val="20"/>
              </w:rPr>
              <w:br/>
              <w:t>425,782 N/rad, torsional</w:t>
            </w:r>
            <w:r w:rsidR="00D10F2A" w:rsidRPr="00407ADC">
              <w:rPr>
                <w:sz w:val="20"/>
              </w:rPr>
              <w:br/>
            </w:r>
            <w:r w:rsidRPr="00407ADC">
              <w:rPr>
                <w:sz w:val="20"/>
              </w:rPr>
              <w:t>The–v2 revision</w:t>
            </w:r>
            <w:r w:rsidR="00F378FB" w:rsidRPr="00407ADC">
              <w:rPr>
                <w:sz w:val="20"/>
              </w:rPr>
              <w:t xml:space="preserve"> of thi</w:t>
            </w:r>
            <w:r w:rsidR="00407ADC" w:rsidRPr="00407ADC">
              <w:rPr>
                <w:sz w:val="20"/>
              </w:rPr>
              <w:t>s</w:t>
            </w:r>
            <w:r w:rsidR="00F378FB" w:rsidRPr="00407ADC">
              <w:rPr>
                <w:sz w:val="20"/>
              </w:rPr>
              <w:t xml:space="preserve"> document</w:t>
            </w:r>
            <w:r w:rsidRPr="00407ADC">
              <w:rPr>
                <w:sz w:val="20"/>
              </w:rPr>
              <w:t xml:space="preserve"> use</w:t>
            </w:r>
            <w:r w:rsidR="00F378FB" w:rsidRPr="00407ADC">
              <w:rPr>
                <w:sz w:val="20"/>
              </w:rPr>
              <w:t>s</w:t>
            </w:r>
            <w:r w:rsidRPr="00407ADC">
              <w:rPr>
                <w:sz w:val="20"/>
              </w:rPr>
              <w:t xml:space="preserve"> th</w:t>
            </w:r>
            <w:r w:rsidR="00527005" w:rsidRPr="00407ADC">
              <w:rPr>
                <w:sz w:val="20"/>
              </w:rPr>
              <w:t>ese</w:t>
            </w:r>
            <w:r w:rsidRPr="00407ADC">
              <w:rPr>
                <w:sz w:val="20"/>
              </w:rPr>
              <w:t xml:space="preserve"> updated spring rate</w:t>
            </w:r>
            <w:r w:rsidR="00527005" w:rsidRPr="00407ADC">
              <w:rPr>
                <w:sz w:val="20"/>
              </w:rPr>
              <w:t>s</w:t>
            </w:r>
            <w:r w:rsidR="00407ADC" w:rsidRPr="00407ADC">
              <w:rPr>
                <w:sz w:val="20"/>
              </w:rPr>
              <w:t>, but not with any tolerance for values in excess of these rates; If the exceedance is small it should be covered within the factor of safety (ASD) or load factor (LRFD).</w:t>
            </w:r>
          </w:p>
          <w:p w14:paraId="2A81C58F" w14:textId="41FB18CD" w:rsidR="00EF00DF" w:rsidRDefault="00F378FB" w:rsidP="00407ADC">
            <w:pPr>
              <w:pStyle w:val="ListParagraph"/>
              <w:numPr>
                <w:ilvl w:val="0"/>
                <w:numId w:val="11"/>
              </w:numPr>
              <w:ind w:left="430"/>
              <w:jc w:val="left"/>
            </w:pPr>
            <w:r w:rsidRPr="00407ADC">
              <w:rPr>
                <w:sz w:val="20"/>
              </w:rPr>
              <w:t>The initial release of this document (-v1) used a seismic loading criteria consistent with the UBC and ASCE 7-88, the LIGO Beam Tube (BT) loading and the seismic load guidance in LIGO-E010613-</w:t>
            </w:r>
            <w:r w:rsidR="0097195F" w:rsidRPr="00407ADC">
              <w:rPr>
                <w:sz w:val="20"/>
              </w:rPr>
              <w:t>v2. In the –v2 version of this document, the ASCE 7-16 standard (imposed by the IBC</w:t>
            </w:r>
            <w:r w:rsidR="00EC6FC1" w:rsidRPr="00407ADC">
              <w:rPr>
                <w:sz w:val="20"/>
              </w:rPr>
              <w:t xml:space="preserve"> 2015 standard</w:t>
            </w:r>
            <w:r w:rsidR="0097195F" w:rsidRPr="00407ADC">
              <w:rPr>
                <w:sz w:val="20"/>
              </w:rPr>
              <w:t>) has been used. The principal changes are (1) no reduction factor to account for the reduced response of high frequency (short period) structures, and (2) the inclusion of a vertical seismic component (not just horizontal).</w:t>
            </w:r>
          </w:p>
        </w:tc>
      </w:tr>
      <w:tr w:rsidR="00BC6E36" w14:paraId="76170953" w14:textId="77777777" w:rsidTr="00527005">
        <w:tc>
          <w:tcPr>
            <w:tcW w:w="1016" w:type="dxa"/>
          </w:tcPr>
          <w:p w14:paraId="28C1F684" w14:textId="71A3BDD1" w:rsidR="00BC6E36" w:rsidRDefault="00BC6E36" w:rsidP="00BC6E36">
            <w:r>
              <w:t>v4</w:t>
            </w:r>
          </w:p>
        </w:tc>
        <w:tc>
          <w:tcPr>
            <w:tcW w:w="1499" w:type="dxa"/>
          </w:tcPr>
          <w:p w14:paraId="341AE664" w14:textId="5D719F69" w:rsidR="00BC6E36" w:rsidRDefault="00BC6E36" w:rsidP="009877A1">
            <w:r>
              <w:t>1 Sep 2020</w:t>
            </w:r>
          </w:p>
        </w:tc>
        <w:tc>
          <w:tcPr>
            <w:tcW w:w="7065" w:type="dxa"/>
          </w:tcPr>
          <w:p w14:paraId="014DBBD1" w14:textId="77777777" w:rsidR="00BC6E36" w:rsidRDefault="00BC6E36" w:rsidP="00BC6E36">
            <w:pPr>
              <w:pStyle w:val="ListParagraph"/>
              <w:numPr>
                <w:ilvl w:val="0"/>
                <w:numId w:val="20"/>
              </w:numPr>
              <w:jc w:val="left"/>
              <w:rPr>
                <w:sz w:val="20"/>
              </w:rPr>
            </w:pPr>
            <w:r w:rsidRPr="00BC6E36">
              <w:rPr>
                <w:sz w:val="20"/>
              </w:rPr>
              <w:t xml:space="preserve">LRFD load </w:t>
            </w:r>
            <w:r>
              <w:rPr>
                <w:sz w:val="20"/>
              </w:rPr>
              <w:t>cases instead of ASD load cases</w:t>
            </w:r>
          </w:p>
          <w:p w14:paraId="07056C43" w14:textId="619CCA12" w:rsidR="00BC6E36" w:rsidRPr="00407ADC" w:rsidRDefault="00BC6E36" w:rsidP="00BC6E36">
            <w:pPr>
              <w:pStyle w:val="ListParagraph"/>
              <w:numPr>
                <w:ilvl w:val="0"/>
                <w:numId w:val="20"/>
              </w:numPr>
              <w:jc w:val="left"/>
              <w:rPr>
                <w:sz w:val="20"/>
              </w:rPr>
            </w:pPr>
            <w:r>
              <w:rPr>
                <w:sz w:val="20"/>
              </w:rPr>
              <w:t>C</w:t>
            </w:r>
            <w:r w:rsidRPr="00BC6E36">
              <w:rPr>
                <w:sz w:val="20"/>
              </w:rPr>
              <w:t xml:space="preserve">orrect minimum support height </w:t>
            </w:r>
            <w:r>
              <w:rPr>
                <w:sz w:val="20"/>
              </w:rPr>
              <w:t>and FCT pitch angle in Figure 1</w:t>
            </w:r>
          </w:p>
        </w:tc>
      </w:tr>
    </w:tbl>
    <w:p w14:paraId="577FEF19" w14:textId="77777777" w:rsidR="0064073B" w:rsidRDefault="0064073B" w:rsidP="009877A1"/>
    <w:p w14:paraId="66E71538" w14:textId="77777777" w:rsidR="0064073B" w:rsidRDefault="0064073B">
      <w:pPr>
        <w:spacing w:before="0"/>
        <w:jc w:val="left"/>
      </w:pPr>
      <w:r>
        <w:br w:type="page"/>
      </w:r>
    </w:p>
    <w:p w14:paraId="276EB752" w14:textId="705E2610" w:rsidR="0064073B" w:rsidRDefault="0064073B" w:rsidP="009877A1"/>
    <w:sdt>
      <w:sdtPr>
        <w:rPr>
          <w:rFonts w:ascii="Times New Roman" w:eastAsia="Times New Roman" w:hAnsi="Times New Roman" w:cs="Times New Roman"/>
          <w:color w:val="auto"/>
          <w:sz w:val="24"/>
          <w:szCs w:val="20"/>
          <w:shd w:val="clear" w:color="auto" w:fill="E6E6E6"/>
        </w:rPr>
        <w:id w:val="-1827742225"/>
        <w:docPartObj>
          <w:docPartGallery w:val="Table of Contents"/>
          <w:docPartUnique/>
        </w:docPartObj>
      </w:sdtPr>
      <w:sdtEndPr>
        <w:rPr>
          <w:b/>
          <w:bCs/>
          <w:noProof/>
        </w:rPr>
      </w:sdtEndPr>
      <w:sdtContent>
        <w:p w14:paraId="22E0FC93" w14:textId="77777777" w:rsidR="009877A1" w:rsidRDefault="009877A1">
          <w:pPr>
            <w:pStyle w:val="TOCHeading"/>
          </w:pPr>
          <w:r>
            <w:t>Table of Contents</w:t>
          </w:r>
        </w:p>
        <w:p w14:paraId="17A53640" w14:textId="5F8A5BC0" w:rsidR="00102C1B" w:rsidRDefault="009877A1">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color w:val="2B579A"/>
              <w:shd w:val="clear" w:color="auto" w:fill="E6E6E6"/>
            </w:rPr>
            <w:fldChar w:fldCharType="begin"/>
          </w:r>
          <w:r>
            <w:rPr>
              <w:noProof/>
            </w:rPr>
            <w:instrText xml:space="preserve"> TOC \o "1-3" \h \z \u </w:instrText>
          </w:r>
          <w:r>
            <w:rPr>
              <w:noProof/>
              <w:color w:val="2B579A"/>
              <w:shd w:val="clear" w:color="auto" w:fill="E6E6E6"/>
            </w:rPr>
            <w:fldChar w:fldCharType="separate"/>
          </w:r>
          <w:hyperlink w:anchor="_Toc50585509" w:history="1">
            <w:r w:rsidR="00102C1B" w:rsidRPr="0057160D">
              <w:rPr>
                <w:rStyle w:val="Hyperlink"/>
                <w:noProof/>
              </w:rPr>
              <w:t>1</w:t>
            </w:r>
            <w:r w:rsidR="00102C1B">
              <w:rPr>
                <w:rFonts w:asciiTheme="minorHAnsi" w:eastAsiaTheme="minorEastAsia" w:hAnsiTheme="minorHAnsi" w:cstheme="minorBidi"/>
                <w:b w:val="0"/>
                <w:bCs w:val="0"/>
                <w:i w:val="0"/>
                <w:iCs w:val="0"/>
                <w:noProof/>
                <w:sz w:val="22"/>
                <w:szCs w:val="22"/>
              </w:rPr>
              <w:tab/>
            </w:r>
            <w:r w:rsidR="00102C1B" w:rsidRPr="0057160D">
              <w:rPr>
                <w:rStyle w:val="Hyperlink"/>
                <w:noProof/>
              </w:rPr>
              <w:t>Introduction</w:t>
            </w:r>
            <w:r w:rsidR="00102C1B">
              <w:rPr>
                <w:noProof/>
                <w:webHidden/>
              </w:rPr>
              <w:tab/>
            </w:r>
            <w:r w:rsidR="00102C1B">
              <w:rPr>
                <w:noProof/>
                <w:webHidden/>
              </w:rPr>
              <w:fldChar w:fldCharType="begin"/>
            </w:r>
            <w:r w:rsidR="00102C1B">
              <w:rPr>
                <w:noProof/>
                <w:webHidden/>
              </w:rPr>
              <w:instrText xml:space="preserve"> PAGEREF _Toc50585509 \h </w:instrText>
            </w:r>
            <w:r w:rsidR="00102C1B">
              <w:rPr>
                <w:noProof/>
                <w:webHidden/>
              </w:rPr>
            </w:r>
            <w:r w:rsidR="00102C1B">
              <w:rPr>
                <w:noProof/>
                <w:webHidden/>
              </w:rPr>
              <w:fldChar w:fldCharType="separate"/>
            </w:r>
            <w:r w:rsidR="00102C1B">
              <w:rPr>
                <w:noProof/>
                <w:webHidden/>
              </w:rPr>
              <w:t>5</w:t>
            </w:r>
            <w:r w:rsidR="00102C1B">
              <w:rPr>
                <w:noProof/>
                <w:webHidden/>
              </w:rPr>
              <w:fldChar w:fldCharType="end"/>
            </w:r>
          </w:hyperlink>
        </w:p>
        <w:p w14:paraId="381F0413" w14:textId="35AF512C"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0" w:history="1">
            <w:r w:rsidRPr="0057160D">
              <w:rPr>
                <w:rStyle w:val="Hyperlink"/>
                <w:noProof/>
              </w:rPr>
              <w:t>2</w:t>
            </w:r>
            <w:r>
              <w:rPr>
                <w:rFonts w:asciiTheme="minorHAnsi" w:eastAsiaTheme="minorEastAsia" w:hAnsiTheme="minorHAnsi" w:cstheme="minorBidi"/>
                <w:b w:val="0"/>
                <w:bCs w:val="0"/>
                <w:i w:val="0"/>
                <w:iCs w:val="0"/>
                <w:noProof/>
                <w:sz w:val="22"/>
                <w:szCs w:val="22"/>
              </w:rPr>
              <w:tab/>
            </w:r>
            <w:r w:rsidRPr="0057160D">
              <w:rPr>
                <w:rStyle w:val="Hyperlink"/>
                <w:noProof/>
              </w:rPr>
              <w:t>FCT Layout</w:t>
            </w:r>
            <w:r>
              <w:rPr>
                <w:noProof/>
                <w:webHidden/>
              </w:rPr>
              <w:tab/>
            </w:r>
            <w:r>
              <w:rPr>
                <w:noProof/>
                <w:webHidden/>
              </w:rPr>
              <w:fldChar w:fldCharType="begin"/>
            </w:r>
            <w:r>
              <w:rPr>
                <w:noProof/>
                <w:webHidden/>
              </w:rPr>
              <w:instrText xml:space="preserve"> PAGEREF _Toc50585510 \h </w:instrText>
            </w:r>
            <w:r>
              <w:rPr>
                <w:noProof/>
                <w:webHidden/>
              </w:rPr>
            </w:r>
            <w:r>
              <w:rPr>
                <w:noProof/>
                <w:webHidden/>
              </w:rPr>
              <w:fldChar w:fldCharType="separate"/>
            </w:r>
            <w:r>
              <w:rPr>
                <w:noProof/>
                <w:webHidden/>
              </w:rPr>
              <w:t>5</w:t>
            </w:r>
            <w:r>
              <w:rPr>
                <w:noProof/>
                <w:webHidden/>
              </w:rPr>
              <w:fldChar w:fldCharType="end"/>
            </w:r>
          </w:hyperlink>
        </w:p>
        <w:p w14:paraId="18EC2A0A" w14:textId="4E543E5D"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1" w:history="1">
            <w:r w:rsidRPr="0057160D">
              <w:rPr>
                <w:rStyle w:val="Hyperlink"/>
                <w:noProof/>
              </w:rPr>
              <w:t>3</w:t>
            </w:r>
            <w:r>
              <w:rPr>
                <w:rFonts w:asciiTheme="minorHAnsi" w:eastAsiaTheme="minorEastAsia" w:hAnsiTheme="minorHAnsi" w:cstheme="minorBidi"/>
                <w:b w:val="0"/>
                <w:bCs w:val="0"/>
                <w:i w:val="0"/>
                <w:iCs w:val="0"/>
                <w:noProof/>
                <w:sz w:val="22"/>
                <w:szCs w:val="22"/>
              </w:rPr>
              <w:tab/>
            </w:r>
            <w:r w:rsidRPr="0057160D">
              <w:rPr>
                <w:rStyle w:val="Hyperlink"/>
                <w:noProof/>
              </w:rPr>
              <w:t>Support types</w:t>
            </w:r>
            <w:r>
              <w:rPr>
                <w:noProof/>
                <w:webHidden/>
              </w:rPr>
              <w:tab/>
            </w:r>
            <w:r>
              <w:rPr>
                <w:noProof/>
                <w:webHidden/>
              </w:rPr>
              <w:fldChar w:fldCharType="begin"/>
            </w:r>
            <w:r>
              <w:rPr>
                <w:noProof/>
                <w:webHidden/>
              </w:rPr>
              <w:instrText xml:space="preserve"> PAGEREF _Toc50585511 \h </w:instrText>
            </w:r>
            <w:r>
              <w:rPr>
                <w:noProof/>
                <w:webHidden/>
              </w:rPr>
            </w:r>
            <w:r>
              <w:rPr>
                <w:noProof/>
                <w:webHidden/>
              </w:rPr>
              <w:fldChar w:fldCharType="separate"/>
            </w:r>
            <w:r>
              <w:rPr>
                <w:noProof/>
                <w:webHidden/>
              </w:rPr>
              <w:t>5</w:t>
            </w:r>
            <w:r>
              <w:rPr>
                <w:noProof/>
                <w:webHidden/>
              </w:rPr>
              <w:fldChar w:fldCharType="end"/>
            </w:r>
          </w:hyperlink>
        </w:p>
        <w:p w14:paraId="37159301" w14:textId="189C7CDD"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2" w:history="1">
            <w:r w:rsidRPr="0057160D">
              <w:rPr>
                <w:rStyle w:val="Hyperlink"/>
                <w:noProof/>
              </w:rPr>
              <w:t>4</w:t>
            </w:r>
            <w:r>
              <w:rPr>
                <w:rFonts w:asciiTheme="minorHAnsi" w:eastAsiaTheme="minorEastAsia" w:hAnsiTheme="minorHAnsi" w:cstheme="minorBidi"/>
                <w:b w:val="0"/>
                <w:bCs w:val="0"/>
                <w:i w:val="0"/>
                <w:iCs w:val="0"/>
                <w:noProof/>
                <w:sz w:val="22"/>
                <w:szCs w:val="22"/>
              </w:rPr>
              <w:tab/>
            </w:r>
            <w:r w:rsidRPr="0057160D">
              <w:rPr>
                <w:rStyle w:val="Hyperlink"/>
                <w:noProof/>
              </w:rPr>
              <w:t>Support description</w:t>
            </w:r>
            <w:r>
              <w:rPr>
                <w:noProof/>
                <w:webHidden/>
              </w:rPr>
              <w:tab/>
            </w:r>
            <w:r>
              <w:rPr>
                <w:noProof/>
                <w:webHidden/>
              </w:rPr>
              <w:fldChar w:fldCharType="begin"/>
            </w:r>
            <w:r>
              <w:rPr>
                <w:noProof/>
                <w:webHidden/>
              </w:rPr>
              <w:instrText xml:space="preserve"> PAGEREF _Toc50585512 \h </w:instrText>
            </w:r>
            <w:r>
              <w:rPr>
                <w:noProof/>
                <w:webHidden/>
              </w:rPr>
            </w:r>
            <w:r>
              <w:rPr>
                <w:noProof/>
                <w:webHidden/>
              </w:rPr>
              <w:fldChar w:fldCharType="separate"/>
            </w:r>
            <w:r>
              <w:rPr>
                <w:noProof/>
                <w:webHidden/>
              </w:rPr>
              <w:t>6</w:t>
            </w:r>
            <w:r>
              <w:rPr>
                <w:noProof/>
                <w:webHidden/>
              </w:rPr>
              <w:fldChar w:fldCharType="end"/>
            </w:r>
          </w:hyperlink>
        </w:p>
        <w:p w14:paraId="51B5713E" w14:textId="382756FE"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3" w:history="1">
            <w:r w:rsidRPr="0057160D">
              <w:rPr>
                <w:rStyle w:val="Hyperlink"/>
                <w:noProof/>
              </w:rPr>
              <w:t>5</w:t>
            </w:r>
            <w:r>
              <w:rPr>
                <w:rFonts w:asciiTheme="minorHAnsi" w:eastAsiaTheme="minorEastAsia" w:hAnsiTheme="minorHAnsi" w:cstheme="minorBidi"/>
                <w:b w:val="0"/>
                <w:bCs w:val="0"/>
                <w:i w:val="0"/>
                <w:iCs w:val="0"/>
                <w:noProof/>
                <w:sz w:val="22"/>
                <w:szCs w:val="22"/>
              </w:rPr>
              <w:tab/>
            </w:r>
            <w:r w:rsidRPr="0057160D">
              <w:rPr>
                <w:rStyle w:val="Hyperlink"/>
                <w:noProof/>
              </w:rPr>
              <w:t>FCTE slab interface requirements</w:t>
            </w:r>
            <w:r>
              <w:rPr>
                <w:noProof/>
                <w:webHidden/>
              </w:rPr>
              <w:tab/>
            </w:r>
            <w:r>
              <w:rPr>
                <w:noProof/>
                <w:webHidden/>
              </w:rPr>
              <w:fldChar w:fldCharType="begin"/>
            </w:r>
            <w:r>
              <w:rPr>
                <w:noProof/>
                <w:webHidden/>
              </w:rPr>
              <w:instrText xml:space="preserve"> PAGEREF _Toc50585513 \h </w:instrText>
            </w:r>
            <w:r>
              <w:rPr>
                <w:noProof/>
                <w:webHidden/>
              </w:rPr>
            </w:r>
            <w:r>
              <w:rPr>
                <w:noProof/>
                <w:webHidden/>
              </w:rPr>
              <w:fldChar w:fldCharType="separate"/>
            </w:r>
            <w:r>
              <w:rPr>
                <w:noProof/>
                <w:webHidden/>
              </w:rPr>
              <w:t>7</w:t>
            </w:r>
            <w:r>
              <w:rPr>
                <w:noProof/>
                <w:webHidden/>
              </w:rPr>
              <w:fldChar w:fldCharType="end"/>
            </w:r>
          </w:hyperlink>
        </w:p>
        <w:p w14:paraId="38C6363C" w14:textId="627E121E"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4" w:history="1">
            <w:r w:rsidRPr="0057160D">
              <w:rPr>
                <w:rStyle w:val="Hyperlink"/>
                <w:noProof/>
              </w:rPr>
              <w:t>6</w:t>
            </w:r>
            <w:r>
              <w:rPr>
                <w:rFonts w:asciiTheme="minorHAnsi" w:eastAsiaTheme="minorEastAsia" w:hAnsiTheme="minorHAnsi" w:cstheme="minorBidi"/>
                <w:b w:val="0"/>
                <w:bCs w:val="0"/>
                <w:i w:val="0"/>
                <w:iCs w:val="0"/>
                <w:noProof/>
                <w:sz w:val="22"/>
                <w:szCs w:val="22"/>
              </w:rPr>
              <w:tab/>
            </w:r>
            <w:r w:rsidRPr="0057160D">
              <w:rPr>
                <w:rStyle w:val="Hyperlink"/>
                <w:noProof/>
              </w:rPr>
              <w:t>Load analysis caveats</w:t>
            </w:r>
            <w:r>
              <w:rPr>
                <w:noProof/>
                <w:webHidden/>
              </w:rPr>
              <w:tab/>
            </w:r>
            <w:r>
              <w:rPr>
                <w:noProof/>
                <w:webHidden/>
              </w:rPr>
              <w:fldChar w:fldCharType="begin"/>
            </w:r>
            <w:r>
              <w:rPr>
                <w:noProof/>
                <w:webHidden/>
              </w:rPr>
              <w:instrText xml:space="preserve"> PAGEREF _Toc50585514 \h </w:instrText>
            </w:r>
            <w:r>
              <w:rPr>
                <w:noProof/>
                <w:webHidden/>
              </w:rPr>
            </w:r>
            <w:r>
              <w:rPr>
                <w:noProof/>
                <w:webHidden/>
              </w:rPr>
              <w:fldChar w:fldCharType="separate"/>
            </w:r>
            <w:r>
              <w:rPr>
                <w:noProof/>
                <w:webHidden/>
              </w:rPr>
              <w:t>8</w:t>
            </w:r>
            <w:r>
              <w:rPr>
                <w:noProof/>
                <w:webHidden/>
              </w:rPr>
              <w:fldChar w:fldCharType="end"/>
            </w:r>
          </w:hyperlink>
        </w:p>
        <w:p w14:paraId="271B660D" w14:textId="79388BEA"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15" w:history="1">
            <w:r w:rsidRPr="0057160D">
              <w:rPr>
                <w:rStyle w:val="Hyperlink"/>
                <w:noProof/>
              </w:rPr>
              <w:t>7</w:t>
            </w:r>
            <w:r>
              <w:rPr>
                <w:rFonts w:asciiTheme="minorHAnsi" w:eastAsiaTheme="minorEastAsia" w:hAnsiTheme="minorHAnsi" w:cstheme="minorBidi"/>
                <w:b w:val="0"/>
                <w:bCs w:val="0"/>
                <w:i w:val="0"/>
                <w:iCs w:val="0"/>
                <w:noProof/>
                <w:sz w:val="22"/>
                <w:szCs w:val="22"/>
              </w:rPr>
              <w:tab/>
            </w:r>
            <w:r w:rsidRPr="0057160D">
              <w:rPr>
                <w:rStyle w:val="Hyperlink"/>
                <w:noProof/>
              </w:rPr>
              <w:t>Load Calculation methodology</w:t>
            </w:r>
            <w:r>
              <w:rPr>
                <w:noProof/>
                <w:webHidden/>
              </w:rPr>
              <w:tab/>
            </w:r>
            <w:r>
              <w:rPr>
                <w:noProof/>
                <w:webHidden/>
              </w:rPr>
              <w:fldChar w:fldCharType="begin"/>
            </w:r>
            <w:r>
              <w:rPr>
                <w:noProof/>
                <w:webHidden/>
              </w:rPr>
              <w:instrText xml:space="preserve"> PAGEREF _Toc50585515 \h </w:instrText>
            </w:r>
            <w:r>
              <w:rPr>
                <w:noProof/>
                <w:webHidden/>
              </w:rPr>
            </w:r>
            <w:r>
              <w:rPr>
                <w:noProof/>
                <w:webHidden/>
              </w:rPr>
              <w:fldChar w:fldCharType="separate"/>
            </w:r>
            <w:r>
              <w:rPr>
                <w:noProof/>
                <w:webHidden/>
              </w:rPr>
              <w:t>8</w:t>
            </w:r>
            <w:r>
              <w:rPr>
                <w:noProof/>
                <w:webHidden/>
              </w:rPr>
              <w:fldChar w:fldCharType="end"/>
            </w:r>
          </w:hyperlink>
        </w:p>
        <w:p w14:paraId="6126DAC9" w14:textId="3367419C"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16" w:history="1">
            <w:r w:rsidRPr="0057160D">
              <w:rPr>
                <w:rStyle w:val="Hyperlink"/>
                <w:noProof/>
              </w:rPr>
              <w:t>7.1</w:t>
            </w:r>
            <w:r>
              <w:rPr>
                <w:rFonts w:asciiTheme="minorHAnsi" w:eastAsiaTheme="minorEastAsia" w:hAnsiTheme="minorHAnsi" w:cstheme="minorBidi"/>
                <w:b w:val="0"/>
                <w:bCs w:val="0"/>
                <w:noProof/>
                <w:sz w:val="22"/>
                <w:szCs w:val="22"/>
              </w:rPr>
              <w:tab/>
            </w:r>
            <w:r w:rsidRPr="0057160D">
              <w:rPr>
                <w:rStyle w:val="Hyperlink"/>
                <w:noProof/>
              </w:rPr>
              <w:t>Requirements from ASCE 7-16</w:t>
            </w:r>
            <w:r>
              <w:rPr>
                <w:noProof/>
                <w:webHidden/>
              </w:rPr>
              <w:tab/>
            </w:r>
            <w:r>
              <w:rPr>
                <w:noProof/>
                <w:webHidden/>
              </w:rPr>
              <w:fldChar w:fldCharType="begin"/>
            </w:r>
            <w:r>
              <w:rPr>
                <w:noProof/>
                <w:webHidden/>
              </w:rPr>
              <w:instrText xml:space="preserve"> PAGEREF _Toc50585516 \h </w:instrText>
            </w:r>
            <w:r>
              <w:rPr>
                <w:noProof/>
                <w:webHidden/>
              </w:rPr>
            </w:r>
            <w:r>
              <w:rPr>
                <w:noProof/>
                <w:webHidden/>
              </w:rPr>
              <w:fldChar w:fldCharType="separate"/>
            </w:r>
            <w:r>
              <w:rPr>
                <w:noProof/>
                <w:webHidden/>
              </w:rPr>
              <w:t>8</w:t>
            </w:r>
            <w:r>
              <w:rPr>
                <w:noProof/>
                <w:webHidden/>
              </w:rPr>
              <w:fldChar w:fldCharType="end"/>
            </w:r>
          </w:hyperlink>
        </w:p>
        <w:p w14:paraId="2AA43799" w14:textId="61F3BB55"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17" w:history="1">
            <w:r w:rsidRPr="0057160D">
              <w:rPr>
                <w:rStyle w:val="Hyperlink"/>
                <w:noProof/>
              </w:rPr>
              <w:t>7.2</w:t>
            </w:r>
            <w:r>
              <w:rPr>
                <w:rFonts w:asciiTheme="minorHAnsi" w:eastAsiaTheme="minorEastAsia" w:hAnsiTheme="minorHAnsi" w:cstheme="minorBidi"/>
                <w:b w:val="0"/>
                <w:bCs w:val="0"/>
                <w:noProof/>
                <w:sz w:val="22"/>
                <w:szCs w:val="22"/>
              </w:rPr>
              <w:tab/>
            </w:r>
            <w:r w:rsidRPr="0057160D">
              <w:rPr>
                <w:rStyle w:val="Hyperlink"/>
                <w:noProof/>
              </w:rPr>
              <w:t>Load Combinations</w:t>
            </w:r>
            <w:r>
              <w:rPr>
                <w:noProof/>
                <w:webHidden/>
              </w:rPr>
              <w:tab/>
            </w:r>
            <w:r>
              <w:rPr>
                <w:noProof/>
                <w:webHidden/>
              </w:rPr>
              <w:fldChar w:fldCharType="begin"/>
            </w:r>
            <w:r>
              <w:rPr>
                <w:noProof/>
                <w:webHidden/>
              </w:rPr>
              <w:instrText xml:space="preserve"> PAGEREF _Toc50585517 \h </w:instrText>
            </w:r>
            <w:r>
              <w:rPr>
                <w:noProof/>
                <w:webHidden/>
              </w:rPr>
            </w:r>
            <w:r>
              <w:rPr>
                <w:noProof/>
                <w:webHidden/>
              </w:rPr>
              <w:fldChar w:fldCharType="separate"/>
            </w:r>
            <w:r>
              <w:rPr>
                <w:noProof/>
                <w:webHidden/>
              </w:rPr>
              <w:t>9</w:t>
            </w:r>
            <w:r>
              <w:rPr>
                <w:noProof/>
                <w:webHidden/>
              </w:rPr>
              <w:fldChar w:fldCharType="end"/>
            </w:r>
          </w:hyperlink>
        </w:p>
        <w:p w14:paraId="78F5B59B" w14:textId="3C9471F6" w:rsidR="00102C1B" w:rsidRDefault="00102C1B">
          <w:pPr>
            <w:pStyle w:val="TOC3"/>
            <w:tabs>
              <w:tab w:val="left" w:pos="1200"/>
              <w:tab w:val="right" w:leader="dot" w:pos="9580"/>
            </w:tabs>
            <w:rPr>
              <w:rFonts w:asciiTheme="minorHAnsi" w:eastAsiaTheme="minorEastAsia" w:hAnsiTheme="minorHAnsi" w:cstheme="minorBidi"/>
              <w:noProof/>
              <w:sz w:val="22"/>
              <w:szCs w:val="22"/>
            </w:rPr>
          </w:pPr>
          <w:hyperlink w:anchor="_Toc50585518" w:history="1">
            <w:r w:rsidRPr="0057160D">
              <w:rPr>
                <w:rStyle w:val="Hyperlink"/>
                <w:noProof/>
              </w:rPr>
              <w:t>7.2.1</w:t>
            </w:r>
            <w:r>
              <w:rPr>
                <w:rFonts w:asciiTheme="minorHAnsi" w:eastAsiaTheme="minorEastAsia" w:hAnsiTheme="minorHAnsi" w:cstheme="minorBidi"/>
                <w:noProof/>
                <w:sz w:val="22"/>
                <w:szCs w:val="22"/>
              </w:rPr>
              <w:tab/>
            </w:r>
            <w:r w:rsidRPr="0057160D">
              <w:rPr>
                <w:rStyle w:val="Hyperlink"/>
                <w:noProof/>
              </w:rPr>
              <w:t>LFRD versus ASD</w:t>
            </w:r>
            <w:r>
              <w:rPr>
                <w:noProof/>
                <w:webHidden/>
              </w:rPr>
              <w:tab/>
            </w:r>
            <w:r>
              <w:rPr>
                <w:noProof/>
                <w:webHidden/>
              </w:rPr>
              <w:fldChar w:fldCharType="begin"/>
            </w:r>
            <w:r>
              <w:rPr>
                <w:noProof/>
                <w:webHidden/>
              </w:rPr>
              <w:instrText xml:space="preserve"> PAGEREF _Toc50585518 \h </w:instrText>
            </w:r>
            <w:r>
              <w:rPr>
                <w:noProof/>
                <w:webHidden/>
              </w:rPr>
            </w:r>
            <w:r>
              <w:rPr>
                <w:noProof/>
                <w:webHidden/>
              </w:rPr>
              <w:fldChar w:fldCharType="separate"/>
            </w:r>
            <w:r>
              <w:rPr>
                <w:noProof/>
                <w:webHidden/>
              </w:rPr>
              <w:t>9</w:t>
            </w:r>
            <w:r>
              <w:rPr>
                <w:noProof/>
                <w:webHidden/>
              </w:rPr>
              <w:fldChar w:fldCharType="end"/>
            </w:r>
          </w:hyperlink>
        </w:p>
        <w:p w14:paraId="0544F106" w14:textId="4BBB93A6" w:rsidR="00102C1B" w:rsidRDefault="00102C1B">
          <w:pPr>
            <w:pStyle w:val="TOC3"/>
            <w:tabs>
              <w:tab w:val="left" w:pos="1200"/>
              <w:tab w:val="right" w:leader="dot" w:pos="9580"/>
            </w:tabs>
            <w:rPr>
              <w:rFonts w:asciiTheme="minorHAnsi" w:eastAsiaTheme="minorEastAsia" w:hAnsiTheme="minorHAnsi" w:cstheme="minorBidi"/>
              <w:noProof/>
              <w:sz w:val="22"/>
              <w:szCs w:val="22"/>
            </w:rPr>
          </w:pPr>
          <w:hyperlink w:anchor="_Toc50585519" w:history="1">
            <w:r w:rsidRPr="0057160D">
              <w:rPr>
                <w:rStyle w:val="Hyperlink"/>
                <w:noProof/>
              </w:rPr>
              <w:t>7.2.2</w:t>
            </w:r>
            <w:r>
              <w:rPr>
                <w:rFonts w:asciiTheme="minorHAnsi" w:eastAsiaTheme="minorEastAsia" w:hAnsiTheme="minorHAnsi" w:cstheme="minorBidi"/>
                <w:noProof/>
                <w:sz w:val="22"/>
                <w:szCs w:val="22"/>
              </w:rPr>
              <w:tab/>
            </w:r>
            <w:r w:rsidRPr="0057160D">
              <w:rPr>
                <w:rStyle w:val="Hyperlink"/>
                <w:noProof/>
              </w:rPr>
              <w:t>LRFD load cases</w:t>
            </w:r>
            <w:r>
              <w:rPr>
                <w:noProof/>
                <w:webHidden/>
              </w:rPr>
              <w:tab/>
            </w:r>
            <w:r>
              <w:rPr>
                <w:noProof/>
                <w:webHidden/>
              </w:rPr>
              <w:fldChar w:fldCharType="begin"/>
            </w:r>
            <w:r>
              <w:rPr>
                <w:noProof/>
                <w:webHidden/>
              </w:rPr>
              <w:instrText xml:space="preserve"> PAGEREF _Toc50585519 \h </w:instrText>
            </w:r>
            <w:r>
              <w:rPr>
                <w:noProof/>
                <w:webHidden/>
              </w:rPr>
            </w:r>
            <w:r>
              <w:rPr>
                <w:noProof/>
                <w:webHidden/>
              </w:rPr>
              <w:fldChar w:fldCharType="separate"/>
            </w:r>
            <w:r>
              <w:rPr>
                <w:noProof/>
                <w:webHidden/>
              </w:rPr>
              <w:t>11</w:t>
            </w:r>
            <w:r>
              <w:rPr>
                <w:noProof/>
                <w:webHidden/>
              </w:rPr>
              <w:fldChar w:fldCharType="end"/>
            </w:r>
          </w:hyperlink>
        </w:p>
        <w:p w14:paraId="40DF3471" w14:textId="5F7F5257"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0" w:history="1">
            <w:r w:rsidRPr="0057160D">
              <w:rPr>
                <w:rStyle w:val="Hyperlink"/>
                <w:noProof/>
              </w:rPr>
              <w:t>7.3</w:t>
            </w:r>
            <w:r>
              <w:rPr>
                <w:rFonts w:asciiTheme="minorHAnsi" w:eastAsiaTheme="minorEastAsia" w:hAnsiTheme="minorHAnsi" w:cstheme="minorBidi"/>
                <w:b w:val="0"/>
                <w:bCs w:val="0"/>
                <w:noProof/>
                <w:sz w:val="22"/>
                <w:szCs w:val="22"/>
              </w:rPr>
              <w:tab/>
            </w:r>
            <w:r w:rsidRPr="0057160D">
              <w:rPr>
                <w:rStyle w:val="Hyperlink"/>
                <w:noProof/>
              </w:rPr>
              <w:t>Seismic Loads</w:t>
            </w:r>
            <w:r>
              <w:rPr>
                <w:noProof/>
                <w:webHidden/>
              </w:rPr>
              <w:tab/>
            </w:r>
            <w:r>
              <w:rPr>
                <w:noProof/>
                <w:webHidden/>
              </w:rPr>
              <w:fldChar w:fldCharType="begin"/>
            </w:r>
            <w:r>
              <w:rPr>
                <w:noProof/>
                <w:webHidden/>
              </w:rPr>
              <w:instrText xml:space="preserve"> PAGEREF _Toc50585520 \h </w:instrText>
            </w:r>
            <w:r>
              <w:rPr>
                <w:noProof/>
                <w:webHidden/>
              </w:rPr>
            </w:r>
            <w:r>
              <w:rPr>
                <w:noProof/>
                <w:webHidden/>
              </w:rPr>
              <w:fldChar w:fldCharType="separate"/>
            </w:r>
            <w:r>
              <w:rPr>
                <w:noProof/>
                <w:webHidden/>
              </w:rPr>
              <w:t>12</w:t>
            </w:r>
            <w:r>
              <w:rPr>
                <w:noProof/>
                <w:webHidden/>
              </w:rPr>
              <w:fldChar w:fldCharType="end"/>
            </w:r>
          </w:hyperlink>
        </w:p>
        <w:p w14:paraId="4DEBB4E8" w14:textId="6030730E" w:rsidR="00102C1B" w:rsidRDefault="00102C1B">
          <w:pPr>
            <w:pStyle w:val="TOC3"/>
            <w:tabs>
              <w:tab w:val="left" w:pos="1200"/>
              <w:tab w:val="right" w:leader="dot" w:pos="9580"/>
            </w:tabs>
            <w:rPr>
              <w:rFonts w:asciiTheme="minorHAnsi" w:eastAsiaTheme="minorEastAsia" w:hAnsiTheme="minorHAnsi" w:cstheme="minorBidi"/>
              <w:noProof/>
              <w:sz w:val="22"/>
              <w:szCs w:val="22"/>
            </w:rPr>
          </w:pPr>
          <w:hyperlink w:anchor="_Toc50585521" w:history="1">
            <w:r w:rsidRPr="0057160D">
              <w:rPr>
                <w:rStyle w:val="Hyperlink"/>
                <w:noProof/>
              </w:rPr>
              <w:t>7.3.1</w:t>
            </w:r>
            <w:r>
              <w:rPr>
                <w:rFonts w:asciiTheme="minorHAnsi" w:eastAsiaTheme="minorEastAsia" w:hAnsiTheme="minorHAnsi" w:cstheme="minorBidi"/>
                <w:noProof/>
                <w:sz w:val="22"/>
                <w:szCs w:val="22"/>
              </w:rPr>
              <w:tab/>
            </w:r>
            <w:r w:rsidRPr="0057160D">
              <w:rPr>
                <w:rStyle w:val="Hyperlink"/>
                <w:noProof/>
              </w:rPr>
              <w:t>UBC 1994 and ASCE 7-88</w:t>
            </w:r>
            <w:r>
              <w:rPr>
                <w:noProof/>
                <w:webHidden/>
              </w:rPr>
              <w:tab/>
            </w:r>
            <w:r>
              <w:rPr>
                <w:noProof/>
                <w:webHidden/>
              </w:rPr>
              <w:fldChar w:fldCharType="begin"/>
            </w:r>
            <w:r>
              <w:rPr>
                <w:noProof/>
                <w:webHidden/>
              </w:rPr>
              <w:instrText xml:space="preserve"> PAGEREF _Toc50585521 \h </w:instrText>
            </w:r>
            <w:r>
              <w:rPr>
                <w:noProof/>
                <w:webHidden/>
              </w:rPr>
            </w:r>
            <w:r>
              <w:rPr>
                <w:noProof/>
                <w:webHidden/>
              </w:rPr>
              <w:fldChar w:fldCharType="separate"/>
            </w:r>
            <w:r>
              <w:rPr>
                <w:noProof/>
                <w:webHidden/>
              </w:rPr>
              <w:t>12</w:t>
            </w:r>
            <w:r>
              <w:rPr>
                <w:noProof/>
                <w:webHidden/>
              </w:rPr>
              <w:fldChar w:fldCharType="end"/>
            </w:r>
          </w:hyperlink>
        </w:p>
        <w:p w14:paraId="66880AA9" w14:textId="272BBAB7" w:rsidR="00102C1B" w:rsidRDefault="00102C1B">
          <w:pPr>
            <w:pStyle w:val="TOC3"/>
            <w:tabs>
              <w:tab w:val="left" w:pos="1200"/>
              <w:tab w:val="right" w:leader="dot" w:pos="9580"/>
            </w:tabs>
            <w:rPr>
              <w:rFonts w:asciiTheme="minorHAnsi" w:eastAsiaTheme="minorEastAsia" w:hAnsiTheme="minorHAnsi" w:cstheme="minorBidi"/>
              <w:noProof/>
              <w:sz w:val="22"/>
              <w:szCs w:val="22"/>
            </w:rPr>
          </w:pPr>
          <w:hyperlink w:anchor="_Toc50585522" w:history="1">
            <w:r w:rsidRPr="0057160D">
              <w:rPr>
                <w:rStyle w:val="Hyperlink"/>
                <w:noProof/>
              </w:rPr>
              <w:t>7.3.2</w:t>
            </w:r>
            <w:r>
              <w:rPr>
                <w:rFonts w:asciiTheme="minorHAnsi" w:eastAsiaTheme="minorEastAsia" w:hAnsiTheme="minorHAnsi" w:cstheme="minorBidi"/>
                <w:noProof/>
                <w:sz w:val="22"/>
                <w:szCs w:val="22"/>
              </w:rPr>
              <w:tab/>
            </w:r>
            <w:r w:rsidRPr="0057160D">
              <w:rPr>
                <w:rStyle w:val="Hyperlink"/>
                <w:noProof/>
              </w:rPr>
              <w:t>ASCE 7-16</w:t>
            </w:r>
            <w:r>
              <w:rPr>
                <w:noProof/>
                <w:webHidden/>
              </w:rPr>
              <w:tab/>
            </w:r>
            <w:r>
              <w:rPr>
                <w:noProof/>
                <w:webHidden/>
              </w:rPr>
              <w:fldChar w:fldCharType="begin"/>
            </w:r>
            <w:r>
              <w:rPr>
                <w:noProof/>
                <w:webHidden/>
              </w:rPr>
              <w:instrText xml:space="preserve"> PAGEREF _Toc50585522 \h </w:instrText>
            </w:r>
            <w:r>
              <w:rPr>
                <w:noProof/>
                <w:webHidden/>
              </w:rPr>
            </w:r>
            <w:r>
              <w:rPr>
                <w:noProof/>
                <w:webHidden/>
              </w:rPr>
              <w:fldChar w:fldCharType="separate"/>
            </w:r>
            <w:r>
              <w:rPr>
                <w:noProof/>
                <w:webHidden/>
              </w:rPr>
              <w:t>13</w:t>
            </w:r>
            <w:r>
              <w:rPr>
                <w:noProof/>
                <w:webHidden/>
              </w:rPr>
              <w:fldChar w:fldCharType="end"/>
            </w:r>
          </w:hyperlink>
        </w:p>
        <w:p w14:paraId="0C0DE232" w14:textId="384C5D60"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3" w:history="1">
            <w:r w:rsidRPr="0057160D">
              <w:rPr>
                <w:rStyle w:val="Hyperlink"/>
                <w:noProof/>
              </w:rPr>
              <w:t>7.4</w:t>
            </w:r>
            <w:r>
              <w:rPr>
                <w:rFonts w:asciiTheme="minorHAnsi" w:eastAsiaTheme="minorEastAsia" w:hAnsiTheme="minorHAnsi" w:cstheme="minorBidi"/>
                <w:b w:val="0"/>
                <w:bCs w:val="0"/>
                <w:noProof/>
                <w:sz w:val="22"/>
                <w:szCs w:val="22"/>
              </w:rPr>
              <w:tab/>
            </w:r>
            <w:r w:rsidRPr="0057160D">
              <w:rPr>
                <w:rStyle w:val="Hyperlink"/>
                <w:noProof/>
              </w:rPr>
              <w:t>Dead Weight Load</w:t>
            </w:r>
            <w:r>
              <w:rPr>
                <w:noProof/>
                <w:webHidden/>
              </w:rPr>
              <w:tab/>
            </w:r>
            <w:r>
              <w:rPr>
                <w:noProof/>
                <w:webHidden/>
              </w:rPr>
              <w:fldChar w:fldCharType="begin"/>
            </w:r>
            <w:r>
              <w:rPr>
                <w:noProof/>
                <w:webHidden/>
              </w:rPr>
              <w:instrText xml:space="preserve"> PAGEREF _Toc50585523 \h </w:instrText>
            </w:r>
            <w:r>
              <w:rPr>
                <w:noProof/>
                <w:webHidden/>
              </w:rPr>
            </w:r>
            <w:r>
              <w:rPr>
                <w:noProof/>
                <w:webHidden/>
              </w:rPr>
              <w:fldChar w:fldCharType="separate"/>
            </w:r>
            <w:r>
              <w:rPr>
                <w:noProof/>
                <w:webHidden/>
              </w:rPr>
              <w:t>18</w:t>
            </w:r>
            <w:r>
              <w:rPr>
                <w:noProof/>
                <w:webHidden/>
              </w:rPr>
              <w:fldChar w:fldCharType="end"/>
            </w:r>
          </w:hyperlink>
        </w:p>
        <w:p w14:paraId="0BAB41C1" w14:textId="151E1D05"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4" w:history="1">
            <w:r w:rsidRPr="0057160D">
              <w:rPr>
                <w:rStyle w:val="Hyperlink"/>
                <w:noProof/>
              </w:rPr>
              <w:t>7.5</w:t>
            </w:r>
            <w:r>
              <w:rPr>
                <w:rFonts w:asciiTheme="minorHAnsi" w:eastAsiaTheme="minorEastAsia" w:hAnsiTheme="minorHAnsi" w:cstheme="minorBidi"/>
                <w:b w:val="0"/>
                <w:bCs w:val="0"/>
                <w:noProof/>
                <w:sz w:val="22"/>
                <w:szCs w:val="22"/>
              </w:rPr>
              <w:tab/>
            </w:r>
            <w:r w:rsidRPr="0057160D">
              <w:rPr>
                <w:rStyle w:val="Hyperlink"/>
                <w:noProof/>
              </w:rPr>
              <w:t>Vacuum Load</w:t>
            </w:r>
            <w:r>
              <w:rPr>
                <w:noProof/>
                <w:webHidden/>
              </w:rPr>
              <w:tab/>
            </w:r>
            <w:r>
              <w:rPr>
                <w:noProof/>
                <w:webHidden/>
              </w:rPr>
              <w:fldChar w:fldCharType="begin"/>
            </w:r>
            <w:r>
              <w:rPr>
                <w:noProof/>
                <w:webHidden/>
              </w:rPr>
              <w:instrText xml:space="preserve"> PAGEREF _Toc50585524 \h </w:instrText>
            </w:r>
            <w:r>
              <w:rPr>
                <w:noProof/>
                <w:webHidden/>
              </w:rPr>
            </w:r>
            <w:r>
              <w:rPr>
                <w:noProof/>
                <w:webHidden/>
              </w:rPr>
              <w:fldChar w:fldCharType="separate"/>
            </w:r>
            <w:r>
              <w:rPr>
                <w:noProof/>
                <w:webHidden/>
              </w:rPr>
              <w:t>18</w:t>
            </w:r>
            <w:r>
              <w:rPr>
                <w:noProof/>
                <w:webHidden/>
              </w:rPr>
              <w:fldChar w:fldCharType="end"/>
            </w:r>
          </w:hyperlink>
        </w:p>
        <w:p w14:paraId="44063552" w14:textId="5ECB8535"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5" w:history="1">
            <w:r w:rsidRPr="0057160D">
              <w:rPr>
                <w:rStyle w:val="Hyperlink"/>
                <w:noProof/>
              </w:rPr>
              <w:t>7.6</w:t>
            </w:r>
            <w:r>
              <w:rPr>
                <w:rFonts w:asciiTheme="minorHAnsi" w:eastAsiaTheme="minorEastAsia" w:hAnsiTheme="minorHAnsi" w:cstheme="minorBidi"/>
                <w:b w:val="0"/>
                <w:bCs w:val="0"/>
                <w:noProof/>
                <w:sz w:val="22"/>
                <w:szCs w:val="22"/>
              </w:rPr>
              <w:tab/>
            </w:r>
            <w:r w:rsidRPr="0057160D">
              <w:rPr>
                <w:rStyle w:val="Hyperlink"/>
                <w:noProof/>
              </w:rPr>
              <w:t>Expansion Joint forces</w:t>
            </w:r>
            <w:r>
              <w:rPr>
                <w:noProof/>
                <w:webHidden/>
              </w:rPr>
              <w:tab/>
            </w:r>
            <w:r>
              <w:rPr>
                <w:noProof/>
                <w:webHidden/>
              </w:rPr>
              <w:fldChar w:fldCharType="begin"/>
            </w:r>
            <w:r>
              <w:rPr>
                <w:noProof/>
                <w:webHidden/>
              </w:rPr>
              <w:instrText xml:space="preserve"> PAGEREF _Toc50585525 \h </w:instrText>
            </w:r>
            <w:r>
              <w:rPr>
                <w:noProof/>
                <w:webHidden/>
              </w:rPr>
            </w:r>
            <w:r>
              <w:rPr>
                <w:noProof/>
                <w:webHidden/>
              </w:rPr>
              <w:fldChar w:fldCharType="separate"/>
            </w:r>
            <w:r>
              <w:rPr>
                <w:noProof/>
                <w:webHidden/>
              </w:rPr>
              <w:t>19</w:t>
            </w:r>
            <w:r>
              <w:rPr>
                <w:noProof/>
                <w:webHidden/>
              </w:rPr>
              <w:fldChar w:fldCharType="end"/>
            </w:r>
          </w:hyperlink>
        </w:p>
        <w:p w14:paraId="3D386B13" w14:textId="520CD2DE"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6" w:history="1">
            <w:r w:rsidRPr="0057160D">
              <w:rPr>
                <w:rStyle w:val="Hyperlink"/>
                <w:noProof/>
              </w:rPr>
              <w:t>7.7</w:t>
            </w:r>
            <w:r>
              <w:rPr>
                <w:rFonts w:asciiTheme="minorHAnsi" w:eastAsiaTheme="minorEastAsia" w:hAnsiTheme="minorHAnsi" w:cstheme="minorBidi"/>
                <w:b w:val="0"/>
                <w:bCs w:val="0"/>
                <w:noProof/>
                <w:sz w:val="22"/>
                <w:szCs w:val="22"/>
              </w:rPr>
              <w:tab/>
            </w:r>
            <w:r w:rsidRPr="0057160D">
              <w:rPr>
                <w:rStyle w:val="Hyperlink"/>
                <w:noProof/>
              </w:rPr>
              <w:t>Settlement Loads</w:t>
            </w:r>
            <w:r>
              <w:rPr>
                <w:noProof/>
                <w:webHidden/>
              </w:rPr>
              <w:tab/>
            </w:r>
            <w:r>
              <w:rPr>
                <w:noProof/>
                <w:webHidden/>
              </w:rPr>
              <w:fldChar w:fldCharType="begin"/>
            </w:r>
            <w:r>
              <w:rPr>
                <w:noProof/>
                <w:webHidden/>
              </w:rPr>
              <w:instrText xml:space="preserve"> PAGEREF _Toc50585526 \h </w:instrText>
            </w:r>
            <w:r>
              <w:rPr>
                <w:noProof/>
                <w:webHidden/>
              </w:rPr>
            </w:r>
            <w:r>
              <w:rPr>
                <w:noProof/>
                <w:webHidden/>
              </w:rPr>
              <w:fldChar w:fldCharType="separate"/>
            </w:r>
            <w:r>
              <w:rPr>
                <w:noProof/>
                <w:webHidden/>
              </w:rPr>
              <w:t>19</w:t>
            </w:r>
            <w:r>
              <w:rPr>
                <w:noProof/>
                <w:webHidden/>
              </w:rPr>
              <w:fldChar w:fldCharType="end"/>
            </w:r>
          </w:hyperlink>
        </w:p>
        <w:p w14:paraId="38707B0A" w14:textId="25067B4E"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7" w:history="1">
            <w:r w:rsidRPr="0057160D">
              <w:rPr>
                <w:rStyle w:val="Hyperlink"/>
                <w:noProof/>
              </w:rPr>
              <w:t>7.8</w:t>
            </w:r>
            <w:r>
              <w:rPr>
                <w:rFonts w:asciiTheme="minorHAnsi" w:eastAsiaTheme="minorEastAsia" w:hAnsiTheme="minorHAnsi" w:cstheme="minorBidi"/>
                <w:b w:val="0"/>
                <w:bCs w:val="0"/>
                <w:noProof/>
                <w:sz w:val="22"/>
                <w:szCs w:val="22"/>
              </w:rPr>
              <w:tab/>
            </w:r>
            <w:r w:rsidRPr="0057160D">
              <w:rPr>
                <w:rStyle w:val="Hyperlink"/>
                <w:noProof/>
              </w:rPr>
              <w:t>Horizontal Alignment</w:t>
            </w:r>
            <w:r>
              <w:rPr>
                <w:noProof/>
                <w:webHidden/>
              </w:rPr>
              <w:tab/>
            </w:r>
            <w:r>
              <w:rPr>
                <w:noProof/>
                <w:webHidden/>
              </w:rPr>
              <w:fldChar w:fldCharType="begin"/>
            </w:r>
            <w:r>
              <w:rPr>
                <w:noProof/>
                <w:webHidden/>
              </w:rPr>
              <w:instrText xml:space="preserve"> PAGEREF _Toc50585527 \h </w:instrText>
            </w:r>
            <w:r>
              <w:rPr>
                <w:noProof/>
                <w:webHidden/>
              </w:rPr>
            </w:r>
            <w:r>
              <w:rPr>
                <w:noProof/>
                <w:webHidden/>
              </w:rPr>
              <w:fldChar w:fldCharType="separate"/>
            </w:r>
            <w:r>
              <w:rPr>
                <w:noProof/>
                <w:webHidden/>
              </w:rPr>
              <w:t>19</w:t>
            </w:r>
            <w:r>
              <w:rPr>
                <w:noProof/>
                <w:webHidden/>
              </w:rPr>
              <w:fldChar w:fldCharType="end"/>
            </w:r>
          </w:hyperlink>
        </w:p>
        <w:p w14:paraId="4E2CFEE1" w14:textId="4344331D"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28" w:history="1">
            <w:r w:rsidRPr="0057160D">
              <w:rPr>
                <w:rStyle w:val="Hyperlink"/>
                <w:noProof/>
              </w:rPr>
              <w:t>7.9</w:t>
            </w:r>
            <w:r>
              <w:rPr>
                <w:rFonts w:asciiTheme="minorHAnsi" w:eastAsiaTheme="minorEastAsia" w:hAnsiTheme="minorHAnsi" w:cstheme="minorBidi"/>
                <w:b w:val="0"/>
                <w:bCs w:val="0"/>
                <w:noProof/>
                <w:sz w:val="22"/>
                <w:szCs w:val="22"/>
              </w:rPr>
              <w:tab/>
            </w:r>
            <w:r w:rsidRPr="0057160D">
              <w:rPr>
                <w:rStyle w:val="Hyperlink"/>
                <w:noProof/>
              </w:rPr>
              <w:t>Embedded anchor strength</w:t>
            </w:r>
            <w:r>
              <w:rPr>
                <w:noProof/>
                <w:webHidden/>
              </w:rPr>
              <w:tab/>
            </w:r>
            <w:r>
              <w:rPr>
                <w:noProof/>
                <w:webHidden/>
              </w:rPr>
              <w:fldChar w:fldCharType="begin"/>
            </w:r>
            <w:r>
              <w:rPr>
                <w:noProof/>
                <w:webHidden/>
              </w:rPr>
              <w:instrText xml:space="preserve"> PAGEREF _Toc50585528 \h </w:instrText>
            </w:r>
            <w:r>
              <w:rPr>
                <w:noProof/>
                <w:webHidden/>
              </w:rPr>
            </w:r>
            <w:r>
              <w:rPr>
                <w:noProof/>
                <w:webHidden/>
              </w:rPr>
              <w:fldChar w:fldCharType="separate"/>
            </w:r>
            <w:r>
              <w:rPr>
                <w:noProof/>
                <w:webHidden/>
              </w:rPr>
              <w:t>20</w:t>
            </w:r>
            <w:r>
              <w:rPr>
                <w:noProof/>
                <w:webHidden/>
              </w:rPr>
              <w:fldChar w:fldCharType="end"/>
            </w:r>
          </w:hyperlink>
        </w:p>
        <w:p w14:paraId="2F3AEC2F" w14:textId="7BF46A8A"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29" w:history="1">
            <w:r w:rsidRPr="0057160D">
              <w:rPr>
                <w:rStyle w:val="Hyperlink"/>
                <w:noProof/>
              </w:rPr>
              <w:t>8</w:t>
            </w:r>
            <w:r>
              <w:rPr>
                <w:rFonts w:asciiTheme="minorHAnsi" w:eastAsiaTheme="minorEastAsia" w:hAnsiTheme="minorHAnsi" w:cstheme="minorBidi"/>
                <w:b w:val="0"/>
                <w:bCs w:val="0"/>
                <w:i w:val="0"/>
                <w:iCs w:val="0"/>
                <w:noProof/>
                <w:sz w:val="22"/>
                <w:szCs w:val="22"/>
              </w:rPr>
              <w:tab/>
            </w:r>
            <w:r w:rsidRPr="0057160D">
              <w:rPr>
                <w:rStyle w:val="Hyperlink"/>
                <w:noProof/>
              </w:rPr>
              <w:t>LRFD Loads</w:t>
            </w:r>
            <w:r>
              <w:rPr>
                <w:noProof/>
                <w:webHidden/>
              </w:rPr>
              <w:tab/>
            </w:r>
            <w:r>
              <w:rPr>
                <w:noProof/>
                <w:webHidden/>
              </w:rPr>
              <w:fldChar w:fldCharType="begin"/>
            </w:r>
            <w:r>
              <w:rPr>
                <w:noProof/>
                <w:webHidden/>
              </w:rPr>
              <w:instrText xml:space="preserve"> PAGEREF _Toc50585529 \h </w:instrText>
            </w:r>
            <w:r>
              <w:rPr>
                <w:noProof/>
                <w:webHidden/>
              </w:rPr>
            </w:r>
            <w:r>
              <w:rPr>
                <w:noProof/>
                <w:webHidden/>
              </w:rPr>
              <w:fldChar w:fldCharType="separate"/>
            </w:r>
            <w:r>
              <w:rPr>
                <w:noProof/>
                <w:webHidden/>
              </w:rPr>
              <w:t>22</w:t>
            </w:r>
            <w:r>
              <w:rPr>
                <w:noProof/>
                <w:webHidden/>
              </w:rPr>
              <w:fldChar w:fldCharType="end"/>
            </w:r>
          </w:hyperlink>
        </w:p>
        <w:p w14:paraId="028396E0" w14:textId="0D9F51A4"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30" w:history="1">
            <w:r w:rsidRPr="0057160D">
              <w:rPr>
                <w:rStyle w:val="Hyperlink"/>
                <w:noProof/>
              </w:rPr>
              <w:t>8.1</w:t>
            </w:r>
            <w:r>
              <w:rPr>
                <w:rFonts w:asciiTheme="minorHAnsi" w:eastAsiaTheme="minorEastAsia" w:hAnsiTheme="minorHAnsi" w:cstheme="minorBidi"/>
                <w:b w:val="0"/>
                <w:bCs w:val="0"/>
                <w:noProof/>
                <w:sz w:val="22"/>
                <w:szCs w:val="22"/>
              </w:rPr>
              <w:tab/>
            </w:r>
            <w:r w:rsidRPr="0057160D">
              <w:rPr>
                <w:rStyle w:val="Hyperlink"/>
                <w:noProof/>
              </w:rPr>
              <w:t>Design loads imposed at the Support Shoes</w:t>
            </w:r>
            <w:r>
              <w:rPr>
                <w:noProof/>
                <w:webHidden/>
              </w:rPr>
              <w:tab/>
            </w:r>
            <w:r>
              <w:rPr>
                <w:noProof/>
                <w:webHidden/>
              </w:rPr>
              <w:fldChar w:fldCharType="begin"/>
            </w:r>
            <w:r>
              <w:rPr>
                <w:noProof/>
                <w:webHidden/>
              </w:rPr>
              <w:instrText xml:space="preserve"> PAGEREF _Toc50585530 \h </w:instrText>
            </w:r>
            <w:r>
              <w:rPr>
                <w:noProof/>
                <w:webHidden/>
              </w:rPr>
            </w:r>
            <w:r>
              <w:rPr>
                <w:noProof/>
                <w:webHidden/>
              </w:rPr>
              <w:fldChar w:fldCharType="separate"/>
            </w:r>
            <w:r>
              <w:rPr>
                <w:noProof/>
                <w:webHidden/>
              </w:rPr>
              <w:t>22</w:t>
            </w:r>
            <w:r>
              <w:rPr>
                <w:noProof/>
                <w:webHidden/>
              </w:rPr>
              <w:fldChar w:fldCharType="end"/>
            </w:r>
          </w:hyperlink>
        </w:p>
        <w:p w14:paraId="0D3FD403" w14:textId="2210B291" w:rsidR="00102C1B" w:rsidRDefault="00102C1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50585531" w:history="1">
            <w:r w:rsidRPr="0057160D">
              <w:rPr>
                <w:rStyle w:val="Hyperlink"/>
                <w:noProof/>
              </w:rPr>
              <w:t>8.2</w:t>
            </w:r>
            <w:r>
              <w:rPr>
                <w:rFonts w:asciiTheme="minorHAnsi" w:eastAsiaTheme="minorEastAsia" w:hAnsiTheme="minorHAnsi" w:cstheme="minorBidi"/>
                <w:b w:val="0"/>
                <w:bCs w:val="0"/>
                <w:noProof/>
                <w:sz w:val="22"/>
                <w:szCs w:val="22"/>
              </w:rPr>
              <w:tab/>
            </w:r>
            <w:r w:rsidRPr="0057160D">
              <w:rPr>
                <w:rStyle w:val="Hyperlink"/>
                <w:noProof/>
              </w:rPr>
              <w:t>Floor anchor reactions</w:t>
            </w:r>
            <w:r>
              <w:rPr>
                <w:noProof/>
                <w:webHidden/>
              </w:rPr>
              <w:tab/>
            </w:r>
            <w:r>
              <w:rPr>
                <w:noProof/>
                <w:webHidden/>
              </w:rPr>
              <w:fldChar w:fldCharType="begin"/>
            </w:r>
            <w:r>
              <w:rPr>
                <w:noProof/>
                <w:webHidden/>
              </w:rPr>
              <w:instrText xml:space="preserve"> PAGEREF _Toc50585531 \h </w:instrText>
            </w:r>
            <w:r>
              <w:rPr>
                <w:noProof/>
                <w:webHidden/>
              </w:rPr>
            </w:r>
            <w:r>
              <w:rPr>
                <w:noProof/>
                <w:webHidden/>
              </w:rPr>
              <w:fldChar w:fldCharType="separate"/>
            </w:r>
            <w:r>
              <w:rPr>
                <w:noProof/>
                <w:webHidden/>
              </w:rPr>
              <w:t>24</w:t>
            </w:r>
            <w:r>
              <w:rPr>
                <w:noProof/>
                <w:webHidden/>
              </w:rPr>
              <w:fldChar w:fldCharType="end"/>
            </w:r>
          </w:hyperlink>
        </w:p>
        <w:p w14:paraId="64B53941" w14:textId="04303F1D"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32" w:history="1">
            <w:r w:rsidRPr="0057160D">
              <w:rPr>
                <w:rStyle w:val="Hyperlink"/>
                <w:noProof/>
              </w:rPr>
              <w:t>9</w:t>
            </w:r>
            <w:r>
              <w:rPr>
                <w:rFonts w:asciiTheme="minorHAnsi" w:eastAsiaTheme="minorEastAsia" w:hAnsiTheme="minorHAnsi" w:cstheme="minorBidi"/>
                <w:b w:val="0"/>
                <w:bCs w:val="0"/>
                <w:i w:val="0"/>
                <w:iCs w:val="0"/>
                <w:noProof/>
                <w:sz w:val="22"/>
                <w:szCs w:val="22"/>
              </w:rPr>
              <w:tab/>
            </w:r>
            <w:r w:rsidRPr="0057160D">
              <w:rPr>
                <w:rStyle w:val="Hyperlink"/>
                <w:noProof/>
              </w:rPr>
              <w:t>ASD load analysis</w:t>
            </w:r>
            <w:r>
              <w:rPr>
                <w:noProof/>
                <w:webHidden/>
              </w:rPr>
              <w:tab/>
            </w:r>
            <w:r>
              <w:rPr>
                <w:noProof/>
                <w:webHidden/>
              </w:rPr>
              <w:fldChar w:fldCharType="begin"/>
            </w:r>
            <w:r>
              <w:rPr>
                <w:noProof/>
                <w:webHidden/>
              </w:rPr>
              <w:instrText xml:space="preserve"> PAGEREF _Toc50585532 \h </w:instrText>
            </w:r>
            <w:r>
              <w:rPr>
                <w:noProof/>
                <w:webHidden/>
              </w:rPr>
            </w:r>
            <w:r>
              <w:rPr>
                <w:noProof/>
                <w:webHidden/>
              </w:rPr>
              <w:fldChar w:fldCharType="separate"/>
            </w:r>
            <w:r>
              <w:rPr>
                <w:noProof/>
                <w:webHidden/>
              </w:rPr>
              <w:t>31</w:t>
            </w:r>
            <w:r>
              <w:rPr>
                <w:noProof/>
                <w:webHidden/>
              </w:rPr>
              <w:fldChar w:fldCharType="end"/>
            </w:r>
          </w:hyperlink>
        </w:p>
        <w:p w14:paraId="17624BFF" w14:textId="5C3DA0E9" w:rsidR="00102C1B" w:rsidRDefault="00102C1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50585533" w:history="1">
            <w:r w:rsidRPr="0057160D">
              <w:rPr>
                <w:rStyle w:val="Hyperlink"/>
                <w:noProof/>
              </w:rPr>
              <w:t>10</w:t>
            </w:r>
            <w:r>
              <w:rPr>
                <w:rFonts w:asciiTheme="minorHAnsi" w:eastAsiaTheme="minorEastAsia" w:hAnsiTheme="minorHAnsi" w:cstheme="minorBidi"/>
                <w:b w:val="0"/>
                <w:bCs w:val="0"/>
                <w:i w:val="0"/>
                <w:iCs w:val="0"/>
                <w:noProof/>
                <w:sz w:val="22"/>
                <w:szCs w:val="22"/>
              </w:rPr>
              <w:tab/>
            </w:r>
            <w:r w:rsidRPr="0057160D">
              <w:rPr>
                <w:rStyle w:val="Hyperlink"/>
                <w:noProof/>
              </w:rPr>
              <w:t>Beam Tube anchor and slab design for comparison</w:t>
            </w:r>
            <w:r>
              <w:rPr>
                <w:noProof/>
                <w:webHidden/>
              </w:rPr>
              <w:tab/>
            </w:r>
            <w:r>
              <w:rPr>
                <w:noProof/>
                <w:webHidden/>
              </w:rPr>
              <w:fldChar w:fldCharType="begin"/>
            </w:r>
            <w:r>
              <w:rPr>
                <w:noProof/>
                <w:webHidden/>
              </w:rPr>
              <w:instrText xml:space="preserve"> PAGEREF _Toc50585533 \h </w:instrText>
            </w:r>
            <w:r>
              <w:rPr>
                <w:noProof/>
                <w:webHidden/>
              </w:rPr>
            </w:r>
            <w:r>
              <w:rPr>
                <w:noProof/>
                <w:webHidden/>
              </w:rPr>
              <w:fldChar w:fldCharType="separate"/>
            </w:r>
            <w:r>
              <w:rPr>
                <w:noProof/>
                <w:webHidden/>
              </w:rPr>
              <w:t>32</w:t>
            </w:r>
            <w:r>
              <w:rPr>
                <w:noProof/>
                <w:webHidden/>
              </w:rPr>
              <w:fldChar w:fldCharType="end"/>
            </w:r>
          </w:hyperlink>
        </w:p>
        <w:p w14:paraId="1299C43A" w14:textId="50A65204" w:rsidR="009877A1" w:rsidRDefault="009877A1">
          <w:r>
            <w:rPr>
              <w:b/>
              <w:bCs/>
              <w:noProof/>
              <w:color w:val="2B579A"/>
              <w:shd w:val="clear" w:color="auto" w:fill="E6E6E6"/>
            </w:rPr>
            <w:fldChar w:fldCharType="end"/>
          </w:r>
        </w:p>
      </w:sdtContent>
    </w:sdt>
    <w:p w14:paraId="4DDBEF00" w14:textId="7BED9938" w:rsidR="009877A1" w:rsidRPr="00260091" w:rsidRDefault="00260091" w:rsidP="009877A1">
      <w:pPr>
        <w:rPr>
          <w:color w:val="1F497D" w:themeColor="text2"/>
          <w:sz w:val="32"/>
        </w:rPr>
      </w:pPr>
      <w:r w:rsidRPr="00260091">
        <w:rPr>
          <w:color w:val="1F497D" w:themeColor="text2"/>
          <w:sz w:val="32"/>
        </w:rPr>
        <w:t>Tables</w:t>
      </w:r>
    </w:p>
    <w:p w14:paraId="36498D69" w14:textId="2CA8168E" w:rsidR="00102C1B" w:rsidRDefault="00260091">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"Table" </w:instrText>
      </w:r>
      <w:r>
        <w:fldChar w:fldCharType="separate"/>
      </w:r>
      <w:hyperlink w:anchor="_Toc50585534" w:history="1">
        <w:r w:rsidR="00102C1B" w:rsidRPr="005855EF">
          <w:rPr>
            <w:rStyle w:val="Hyperlink"/>
            <w:noProof/>
          </w:rPr>
          <w:t>Table 1 Filter Cavity Tube Support Types by Building Location</w:t>
        </w:r>
        <w:r w:rsidR="00102C1B">
          <w:rPr>
            <w:noProof/>
            <w:webHidden/>
          </w:rPr>
          <w:tab/>
        </w:r>
        <w:r w:rsidR="00102C1B">
          <w:rPr>
            <w:noProof/>
            <w:webHidden/>
          </w:rPr>
          <w:fldChar w:fldCharType="begin"/>
        </w:r>
        <w:r w:rsidR="00102C1B">
          <w:rPr>
            <w:noProof/>
            <w:webHidden/>
          </w:rPr>
          <w:instrText xml:space="preserve"> PAGEREF _Toc50585534 \h </w:instrText>
        </w:r>
        <w:r w:rsidR="00102C1B">
          <w:rPr>
            <w:noProof/>
            <w:webHidden/>
          </w:rPr>
        </w:r>
        <w:r w:rsidR="00102C1B">
          <w:rPr>
            <w:noProof/>
            <w:webHidden/>
          </w:rPr>
          <w:fldChar w:fldCharType="separate"/>
        </w:r>
        <w:r w:rsidR="00102C1B">
          <w:rPr>
            <w:noProof/>
            <w:webHidden/>
          </w:rPr>
          <w:t>6</w:t>
        </w:r>
        <w:r w:rsidR="00102C1B">
          <w:rPr>
            <w:noProof/>
            <w:webHidden/>
          </w:rPr>
          <w:fldChar w:fldCharType="end"/>
        </w:r>
      </w:hyperlink>
    </w:p>
    <w:p w14:paraId="3EC2BC54" w14:textId="3F94A8CF"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35" w:history="1">
        <w:r w:rsidRPr="005855EF">
          <w:rPr>
            <w:rStyle w:val="Hyperlink"/>
            <w:noProof/>
          </w:rPr>
          <w:t>Table 2  Load Cases</w:t>
        </w:r>
        <w:r>
          <w:rPr>
            <w:noProof/>
            <w:webHidden/>
          </w:rPr>
          <w:tab/>
        </w:r>
        <w:r>
          <w:rPr>
            <w:noProof/>
            <w:webHidden/>
          </w:rPr>
          <w:fldChar w:fldCharType="begin"/>
        </w:r>
        <w:r>
          <w:rPr>
            <w:noProof/>
            <w:webHidden/>
          </w:rPr>
          <w:instrText xml:space="preserve"> PAGEREF _Toc50585535 \h </w:instrText>
        </w:r>
        <w:r>
          <w:rPr>
            <w:noProof/>
            <w:webHidden/>
          </w:rPr>
        </w:r>
        <w:r>
          <w:rPr>
            <w:noProof/>
            <w:webHidden/>
          </w:rPr>
          <w:fldChar w:fldCharType="separate"/>
        </w:r>
        <w:r>
          <w:rPr>
            <w:noProof/>
            <w:webHidden/>
          </w:rPr>
          <w:t>12</w:t>
        </w:r>
        <w:r>
          <w:rPr>
            <w:noProof/>
            <w:webHidden/>
          </w:rPr>
          <w:fldChar w:fldCharType="end"/>
        </w:r>
      </w:hyperlink>
    </w:p>
    <w:p w14:paraId="4FBFAB6C" w14:textId="36A7EAED"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36" w:history="1">
        <w:r w:rsidRPr="005855EF">
          <w:rPr>
            <w:rStyle w:val="Hyperlink"/>
            <w:noProof/>
          </w:rPr>
          <w:t>Table 3  Nonbuilding Structure Type applicable to the FCT</w:t>
        </w:r>
        <w:r>
          <w:rPr>
            <w:noProof/>
            <w:webHidden/>
          </w:rPr>
          <w:tab/>
        </w:r>
        <w:r>
          <w:rPr>
            <w:noProof/>
            <w:webHidden/>
          </w:rPr>
          <w:fldChar w:fldCharType="begin"/>
        </w:r>
        <w:r>
          <w:rPr>
            <w:noProof/>
            <w:webHidden/>
          </w:rPr>
          <w:instrText xml:space="preserve"> PAGEREF _Toc50585536 \h </w:instrText>
        </w:r>
        <w:r>
          <w:rPr>
            <w:noProof/>
            <w:webHidden/>
          </w:rPr>
        </w:r>
        <w:r>
          <w:rPr>
            <w:noProof/>
            <w:webHidden/>
          </w:rPr>
          <w:fldChar w:fldCharType="separate"/>
        </w:r>
        <w:r>
          <w:rPr>
            <w:noProof/>
            <w:webHidden/>
          </w:rPr>
          <w:t>13</w:t>
        </w:r>
        <w:r>
          <w:rPr>
            <w:noProof/>
            <w:webHidden/>
          </w:rPr>
          <w:fldChar w:fldCharType="end"/>
        </w:r>
      </w:hyperlink>
    </w:p>
    <w:p w14:paraId="07201DF6" w14:textId="13BA045A"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37" w:history="1">
        <w:r w:rsidRPr="005855EF">
          <w:rPr>
            <w:rStyle w:val="Hyperlink"/>
            <w:noProof/>
          </w:rPr>
          <w:t>Table 4  LHO Seismic Mapped Parameters</w:t>
        </w:r>
        <w:r>
          <w:rPr>
            <w:noProof/>
            <w:webHidden/>
          </w:rPr>
          <w:tab/>
        </w:r>
        <w:r>
          <w:rPr>
            <w:noProof/>
            <w:webHidden/>
          </w:rPr>
          <w:fldChar w:fldCharType="begin"/>
        </w:r>
        <w:r>
          <w:rPr>
            <w:noProof/>
            <w:webHidden/>
          </w:rPr>
          <w:instrText xml:space="preserve"> PAGEREF _Toc50585537 \h </w:instrText>
        </w:r>
        <w:r>
          <w:rPr>
            <w:noProof/>
            <w:webHidden/>
          </w:rPr>
        </w:r>
        <w:r>
          <w:rPr>
            <w:noProof/>
            <w:webHidden/>
          </w:rPr>
          <w:fldChar w:fldCharType="separate"/>
        </w:r>
        <w:r>
          <w:rPr>
            <w:noProof/>
            <w:webHidden/>
          </w:rPr>
          <w:t>15</w:t>
        </w:r>
        <w:r>
          <w:rPr>
            <w:noProof/>
            <w:webHidden/>
          </w:rPr>
          <w:fldChar w:fldCharType="end"/>
        </w:r>
      </w:hyperlink>
    </w:p>
    <w:p w14:paraId="762A2408" w14:textId="741BF36C"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38" w:history="1">
        <w:r w:rsidRPr="005855EF">
          <w:rPr>
            <w:rStyle w:val="Hyperlink"/>
            <w:noProof/>
          </w:rPr>
          <w:t>Table 5  LLO Seismic Mapped Parameters</w:t>
        </w:r>
        <w:r>
          <w:rPr>
            <w:noProof/>
            <w:webHidden/>
          </w:rPr>
          <w:tab/>
        </w:r>
        <w:r>
          <w:rPr>
            <w:noProof/>
            <w:webHidden/>
          </w:rPr>
          <w:fldChar w:fldCharType="begin"/>
        </w:r>
        <w:r>
          <w:rPr>
            <w:noProof/>
            <w:webHidden/>
          </w:rPr>
          <w:instrText xml:space="preserve"> PAGEREF _Toc50585538 \h </w:instrText>
        </w:r>
        <w:r>
          <w:rPr>
            <w:noProof/>
            <w:webHidden/>
          </w:rPr>
        </w:r>
        <w:r>
          <w:rPr>
            <w:noProof/>
            <w:webHidden/>
          </w:rPr>
          <w:fldChar w:fldCharType="separate"/>
        </w:r>
        <w:r>
          <w:rPr>
            <w:noProof/>
            <w:webHidden/>
          </w:rPr>
          <w:t>16</w:t>
        </w:r>
        <w:r>
          <w:rPr>
            <w:noProof/>
            <w:webHidden/>
          </w:rPr>
          <w:fldChar w:fldCharType="end"/>
        </w:r>
      </w:hyperlink>
    </w:p>
    <w:p w14:paraId="49B5338D" w14:textId="6E790B0A"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39" w:history="1">
        <w:r w:rsidRPr="005855EF">
          <w:rPr>
            <w:rStyle w:val="Hyperlink"/>
            <w:noProof/>
          </w:rPr>
          <w:t>Table 6  Floor Anchor Resistance</w:t>
        </w:r>
        <w:r>
          <w:rPr>
            <w:noProof/>
            <w:webHidden/>
          </w:rPr>
          <w:tab/>
        </w:r>
        <w:r>
          <w:rPr>
            <w:noProof/>
            <w:webHidden/>
          </w:rPr>
          <w:fldChar w:fldCharType="begin"/>
        </w:r>
        <w:r>
          <w:rPr>
            <w:noProof/>
            <w:webHidden/>
          </w:rPr>
          <w:instrText xml:space="preserve"> PAGEREF _Toc50585539 \h </w:instrText>
        </w:r>
        <w:r>
          <w:rPr>
            <w:noProof/>
            <w:webHidden/>
          </w:rPr>
        </w:r>
        <w:r>
          <w:rPr>
            <w:noProof/>
            <w:webHidden/>
          </w:rPr>
          <w:fldChar w:fldCharType="separate"/>
        </w:r>
        <w:r>
          <w:rPr>
            <w:noProof/>
            <w:webHidden/>
          </w:rPr>
          <w:t>21</w:t>
        </w:r>
        <w:r>
          <w:rPr>
            <w:noProof/>
            <w:webHidden/>
          </w:rPr>
          <w:fldChar w:fldCharType="end"/>
        </w:r>
      </w:hyperlink>
    </w:p>
    <w:p w14:paraId="478790BF" w14:textId="573FB35D"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0" w:history="1">
        <w:r w:rsidRPr="005855EF">
          <w:rPr>
            <w:rStyle w:val="Hyperlink"/>
            <w:noProof/>
          </w:rPr>
          <w:t>Table 7  ASCE 7-16 LRFD Load Cases: Forces and Moments on Support Pipe Shoes @FCT Centerline</w:t>
        </w:r>
        <w:r>
          <w:rPr>
            <w:noProof/>
            <w:webHidden/>
          </w:rPr>
          <w:tab/>
        </w:r>
        <w:r>
          <w:rPr>
            <w:noProof/>
            <w:webHidden/>
          </w:rPr>
          <w:fldChar w:fldCharType="begin"/>
        </w:r>
        <w:r>
          <w:rPr>
            <w:noProof/>
            <w:webHidden/>
          </w:rPr>
          <w:instrText xml:space="preserve"> PAGEREF _Toc50585540 \h </w:instrText>
        </w:r>
        <w:r>
          <w:rPr>
            <w:noProof/>
            <w:webHidden/>
          </w:rPr>
        </w:r>
        <w:r>
          <w:rPr>
            <w:noProof/>
            <w:webHidden/>
          </w:rPr>
          <w:fldChar w:fldCharType="separate"/>
        </w:r>
        <w:r>
          <w:rPr>
            <w:noProof/>
            <w:webHidden/>
          </w:rPr>
          <w:t>23</w:t>
        </w:r>
        <w:r>
          <w:rPr>
            <w:noProof/>
            <w:webHidden/>
          </w:rPr>
          <w:fldChar w:fldCharType="end"/>
        </w:r>
      </w:hyperlink>
    </w:p>
    <w:p w14:paraId="36C8D823" w14:textId="6B135923"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1" w:history="1">
        <w:r w:rsidRPr="005855EF">
          <w:rPr>
            <w:rStyle w:val="Hyperlink"/>
            <w:noProof/>
          </w:rPr>
          <w:t>Table 8  Floor Anchor Bolt Loads</w:t>
        </w:r>
        <w:r>
          <w:rPr>
            <w:noProof/>
            <w:webHidden/>
          </w:rPr>
          <w:tab/>
        </w:r>
        <w:r>
          <w:rPr>
            <w:noProof/>
            <w:webHidden/>
          </w:rPr>
          <w:fldChar w:fldCharType="begin"/>
        </w:r>
        <w:r>
          <w:rPr>
            <w:noProof/>
            <w:webHidden/>
          </w:rPr>
          <w:instrText xml:space="preserve"> PAGEREF _Toc50585541 \h </w:instrText>
        </w:r>
        <w:r>
          <w:rPr>
            <w:noProof/>
            <w:webHidden/>
          </w:rPr>
        </w:r>
        <w:r>
          <w:rPr>
            <w:noProof/>
            <w:webHidden/>
          </w:rPr>
          <w:fldChar w:fldCharType="separate"/>
        </w:r>
        <w:r>
          <w:rPr>
            <w:noProof/>
            <w:webHidden/>
          </w:rPr>
          <w:t>24</w:t>
        </w:r>
        <w:r>
          <w:rPr>
            <w:noProof/>
            <w:webHidden/>
          </w:rPr>
          <w:fldChar w:fldCharType="end"/>
        </w:r>
      </w:hyperlink>
    </w:p>
    <w:p w14:paraId="50FD0438" w14:textId="667F2208" w:rsidR="00260091" w:rsidRDefault="00260091" w:rsidP="009877A1">
      <w:r>
        <w:fldChar w:fldCharType="end"/>
      </w:r>
    </w:p>
    <w:p w14:paraId="180C05A8" w14:textId="5991D5EC" w:rsidR="00260091" w:rsidRPr="00260091" w:rsidRDefault="00260091" w:rsidP="009877A1">
      <w:pPr>
        <w:rPr>
          <w:color w:val="1F497D" w:themeColor="text2"/>
          <w:sz w:val="32"/>
        </w:rPr>
      </w:pPr>
      <w:r w:rsidRPr="00260091">
        <w:rPr>
          <w:color w:val="1F497D" w:themeColor="text2"/>
          <w:sz w:val="32"/>
        </w:rPr>
        <w:t>Figures</w:t>
      </w:r>
    </w:p>
    <w:p w14:paraId="4C6E3649" w14:textId="4BC40D13" w:rsidR="00102C1B" w:rsidRDefault="00260091">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50585542" w:history="1">
        <w:r w:rsidR="00102C1B" w:rsidRPr="00C9584E">
          <w:rPr>
            <w:rStyle w:val="Hyperlink"/>
            <w:noProof/>
          </w:rPr>
          <w:t>Figure 1  Height of FCT relative to the floor</w:t>
        </w:r>
        <w:r w:rsidR="00102C1B">
          <w:rPr>
            <w:noProof/>
            <w:webHidden/>
          </w:rPr>
          <w:tab/>
        </w:r>
        <w:r w:rsidR="00102C1B">
          <w:rPr>
            <w:noProof/>
            <w:webHidden/>
          </w:rPr>
          <w:fldChar w:fldCharType="begin"/>
        </w:r>
        <w:r w:rsidR="00102C1B">
          <w:rPr>
            <w:noProof/>
            <w:webHidden/>
          </w:rPr>
          <w:instrText xml:space="preserve"> PAGEREF _Toc50585542 \h </w:instrText>
        </w:r>
        <w:r w:rsidR="00102C1B">
          <w:rPr>
            <w:noProof/>
            <w:webHidden/>
          </w:rPr>
        </w:r>
        <w:r w:rsidR="00102C1B">
          <w:rPr>
            <w:noProof/>
            <w:webHidden/>
          </w:rPr>
          <w:fldChar w:fldCharType="separate"/>
        </w:r>
        <w:r w:rsidR="00102C1B">
          <w:rPr>
            <w:noProof/>
            <w:webHidden/>
          </w:rPr>
          <w:t>5</w:t>
        </w:r>
        <w:r w:rsidR="00102C1B">
          <w:rPr>
            <w:noProof/>
            <w:webHidden/>
          </w:rPr>
          <w:fldChar w:fldCharType="end"/>
        </w:r>
      </w:hyperlink>
    </w:p>
    <w:p w14:paraId="3B2565D0" w14:textId="4ED4FBDD"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3" w:history="1">
        <w:r w:rsidRPr="00C9584E">
          <w:rPr>
            <w:rStyle w:val="Hyperlink"/>
            <w:noProof/>
          </w:rPr>
          <w:t>Figure 2 A representative section of the FCT showing Fixed and Guided Supports</w:t>
        </w:r>
        <w:r>
          <w:rPr>
            <w:noProof/>
            <w:webHidden/>
          </w:rPr>
          <w:tab/>
        </w:r>
        <w:r>
          <w:rPr>
            <w:noProof/>
            <w:webHidden/>
          </w:rPr>
          <w:fldChar w:fldCharType="begin"/>
        </w:r>
        <w:r>
          <w:rPr>
            <w:noProof/>
            <w:webHidden/>
          </w:rPr>
          <w:instrText xml:space="preserve"> PAGEREF _Toc50585543 \h </w:instrText>
        </w:r>
        <w:r>
          <w:rPr>
            <w:noProof/>
            <w:webHidden/>
          </w:rPr>
        </w:r>
        <w:r>
          <w:rPr>
            <w:noProof/>
            <w:webHidden/>
          </w:rPr>
          <w:fldChar w:fldCharType="separate"/>
        </w:r>
        <w:r>
          <w:rPr>
            <w:noProof/>
            <w:webHidden/>
          </w:rPr>
          <w:t>7</w:t>
        </w:r>
        <w:r>
          <w:rPr>
            <w:noProof/>
            <w:webHidden/>
          </w:rPr>
          <w:fldChar w:fldCharType="end"/>
        </w:r>
      </w:hyperlink>
    </w:p>
    <w:p w14:paraId="24BFA77E" w14:textId="06755CBA"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4" w:history="1">
        <w:r w:rsidRPr="00C9584E">
          <w:rPr>
            <w:rStyle w:val="Hyperlink"/>
            <w:noProof/>
          </w:rPr>
          <w:t>Figure 3  Comparison of ASCE 7-16 Seismic Response Coefficient and LIGO-E010613-v2</w:t>
        </w:r>
        <w:r>
          <w:rPr>
            <w:noProof/>
            <w:webHidden/>
          </w:rPr>
          <w:tab/>
        </w:r>
        <w:r>
          <w:rPr>
            <w:noProof/>
            <w:webHidden/>
          </w:rPr>
          <w:fldChar w:fldCharType="begin"/>
        </w:r>
        <w:r>
          <w:rPr>
            <w:noProof/>
            <w:webHidden/>
          </w:rPr>
          <w:instrText xml:space="preserve"> PAGEREF _Toc50585544 \h </w:instrText>
        </w:r>
        <w:r>
          <w:rPr>
            <w:noProof/>
            <w:webHidden/>
          </w:rPr>
        </w:r>
        <w:r>
          <w:rPr>
            <w:noProof/>
            <w:webHidden/>
          </w:rPr>
          <w:fldChar w:fldCharType="separate"/>
        </w:r>
        <w:r>
          <w:rPr>
            <w:noProof/>
            <w:webHidden/>
          </w:rPr>
          <w:t>17</w:t>
        </w:r>
        <w:r>
          <w:rPr>
            <w:noProof/>
            <w:webHidden/>
          </w:rPr>
          <w:fldChar w:fldCharType="end"/>
        </w:r>
      </w:hyperlink>
    </w:p>
    <w:p w14:paraId="678958D3" w14:textId="50F05685"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5" w:history="1">
        <w:r w:rsidRPr="00C9584E">
          <w:rPr>
            <w:rStyle w:val="Hyperlink"/>
            <w:noProof/>
          </w:rPr>
          <w:t>Figure 4  Vacuum equipment mounted on the 6-way cross</w:t>
        </w:r>
        <w:r>
          <w:rPr>
            <w:noProof/>
            <w:webHidden/>
          </w:rPr>
          <w:tab/>
        </w:r>
        <w:r>
          <w:rPr>
            <w:noProof/>
            <w:webHidden/>
          </w:rPr>
          <w:fldChar w:fldCharType="begin"/>
        </w:r>
        <w:r>
          <w:rPr>
            <w:noProof/>
            <w:webHidden/>
          </w:rPr>
          <w:instrText xml:space="preserve"> PAGEREF _Toc50585545 \h </w:instrText>
        </w:r>
        <w:r>
          <w:rPr>
            <w:noProof/>
            <w:webHidden/>
          </w:rPr>
        </w:r>
        <w:r>
          <w:rPr>
            <w:noProof/>
            <w:webHidden/>
          </w:rPr>
          <w:fldChar w:fldCharType="separate"/>
        </w:r>
        <w:r>
          <w:rPr>
            <w:noProof/>
            <w:webHidden/>
          </w:rPr>
          <w:t>18</w:t>
        </w:r>
        <w:r>
          <w:rPr>
            <w:noProof/>
            <w:webHidden/>
          </w:rPr>
          <w:fldChar w:fldCharType="end"/>
        </w:r>
      </w:hyperlink>
    </w:p>
    <w:p w14:paraId="1B217E81" w14:textId="582DC2A2"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6" w:history="1">
        <w:r w:rsidRPr="00C9584E">
          <w:rPr>
            <w:rStyle w:val="Hyperlink"/>
            <w:noProof/>
          </w:rPr>
          <w:t>Figure 5  Stiffened support base results in improved load transfer to the anchor bolts</w:t>
        </w:r>
        <w:r>
          <w:rPr>
            <w:noProof/>
            <w:webHidden/>
          </w:rPr>
          <w:tab/>
        </w:r>
        <w:r>
          <w:rPr>
            <w:noProof/>
            <w:webHidden/>
          </w:rPr>
          <w:fldChar w:fldCharType="begin"/>
        </w:r>
        <w:r>
          <w:rPr>
            <w:noProof/>
            <w:webHidden/>
          </w:rPr>
          <w:instrText xml:space="preserve"> PAGEREF _Toc50585546 \h </w:instrText>
        </w:r>
        <w:r>
          <w:rPr>
            <w:noProof/>
            <w:webHidden/>
          </w:rPr>
        </w:r>
        <w:r>
          <w:rPr>
            <w:noProof/>
            <w:webHidden/>
          </w:rPr>
          <w:fldChar w:fldCharType="separate"/>
        </w:r>
        <w:r>
          <w:rPr>
            <w:noProof/>
            <w:webHidden/>
          </w:rPr>
          <w:t>25</w:t>
        </w:r>
        <w:r>
          <w:rPr>
            <w:noProof/>
            <w:webHidden/>
          </w:rPr>
          <w:fldChar w:fldCharType="end"/>
        </w:r>
      </w:hyperlink>
    </w:p>
    <w:p w14:paraId="6EFEEB42" w14:textId="64567C95"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7" w:history="1">
        <w:r w:rsidRPr="00C9584E">
          <w:rPr>
            <w:rStyle w:val="Hyperlink"/>
            <w:noProof/>
          </w:rPr>
          <w:t>Figure 6  Simple beam representation of a typical, repeating module of FCT (section FCT-C)</w:t>
        </w:r>
        <w:r>
          <w:rPr>
            <w:noProof/>
            <w:webHidden/>
          </w:rPr>
          <w:tab/>
        </w:r>
        <w:r>
          <w:rPr>
            <w:noProof/>
            <w:webHidden/>
          </w:rPr>
          <w:fldChar w:fldCharType="begin"/>
        </w:r>
        <w:r>
          <w:rPr>
            <w:noProof/>
            <w:webHidden/>
          </w:rPr>
          <w:instrText xml:space="preserve"> PAGEREF _Toc50585547 \h </w:instrText>
        </w:r>
        <w:r>
          <w:rPr>
            <w:noProof/>
            <w:webHidden/>
          </w:rPr>
        </w:r>
        <w:r>
          <w:rPr>
            <w:noProof/>
            <w:webHidden/>
          </w:rPr>
          <w:fldChar w:fldCharType="separate"/>
        </w:r>
        <w:r>
          <w:rPr>
            <w:noProof/>
            <w:webHidden/>
          </w:rPr>
          <w:t>26</w:t>
        </w:r>
        <w:r>
          <w:rPr>
            <w:noProof/>
            <w:webHidden/>
          </w:rPr>
          <w:fldChar w:fldCharType="end"/>
        </w:r>
      </w:hyperlink>
    </w:p>
    <w:p w14:paraId="44943F5C" w14:textId="735DB540"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8" w:history="1">
        <w:r w:rsidRPr="00C9584E">
          <w:rPr>
            <w:rStyle w:val="Hyperlink"/>
            <w:noProof/>
          </w:rPr>
          <w:t>Figure 7  An idealized, representative/typical section of the FCT (beam analysis) and the deformed geometry under gravity loading</w:t>
        </w:r>
        <w:r>
          <w:rPr>
            <w:noProof/>
            <w:webHidden/>
          </w:rPr>
          <w:tab/>
        </w:r>
        <w:r>
          <w:rPr>
            <w:noProof/>
            <w:webHidden/>
          </w:rPr>
          <w:fldChar w:fldCharType="begin"/>
        </w:r>
        <w:r>
          <w:rPr>
            <w:noProof/>
            <w:webHidden/>
          </w:rPr>
          <w:instrText xml:space="preserve"> PAGEREF _Toc50585548 \h </w:instrText>
        </w:r>
        <w:r>
          <w:rPr>
            <w:noProof/>
            <w:webHidden/>
          </w:rPr>
        </w:r>
        <w:r>
          <w:rPr>
            <w:noProof/>
            <w:webHidden/>
          </w:rPr>
          <w:fldChar w:fldCharType="separate"/>
        </w:r>
        <w:r>
          <w:rPr>
            <w:noProof/>
            <w:webHidden/>
          </w:rPr>
          <w:t>27</w:t>
        </w:r>
        <w:r>
          <w:rPr>
            <w:noProof/>
            <w:webHidden/>
          </w:rPr>
          <w:fldChar w:fldCharType="end"/>
        </w:r>
      </w:hyperlink>
    </w:p>
    <w:p w14:paraId="064F73FB" w14:textId="63A48E56"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49" w:history="1">
        <w:r w:rsidRPr="00C9584E">
          <w:rPr>
            <w:rStyle w:val="Hyperlink"/>
            <w:noProof/>
          </w:rPr>
          <w:t>Figure 8  FEM of a Support with a 36” by 17” base, welded stiffeners and 8 anchor bolts</w:t>
        </w:r>
        <w:r>
          <w:rPr>
            <w:noProof/>
            <w:webHidden/>
          </w:rPr>
          <w:tab/>
        </w:r>
        <w:r>
          <w:rPr>
            <w:noProof/>
            <w:webHidden/>
          </w:rPr>
          <w:fldChar w:fldCharType="begin"/>
        </w:r>
        <w:r>
          <w:rPr>
            <w:noProof/>
            <w:webHidden/>
          </w:rPr>
          <w:instrText xml:space="preserve"> PAGEREF _Toc50585549 \h </w:instrText>
        </w:r>
        <w:r>
          <w:rPr>
            <w:noProof/>
            <w:webHidden/>
          </w:rPr>
        </w:r>
        <w:r>
          <w:rPr>
            <w:noProof/>
            <w:webHidden/>
          </w:rPr>
          <w:fldChar w:fldCharType="separate"/>
        </w:r>
        <w:r>
          <w:rPr>
            <w:noProof/>
            <w:webHidden/>
          </w:rPr>
          <w:t>28</w:t>
        </w:r>
        <w:r>
          <w:rPr>
            <w:noProof/>
            <w:webHidden/>
          </w:rPr>
          <w:fldChar w:fldCharType="end"/>
        </w:r>
      </w:hyperlink>
    </w:p>
    <w:p w14:paraId="31212992" w14:textId="75F61146"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50" w:history="1">
        <w:r w:rsidRPr="00C9584E">
          <w:rPr>
            <w:rStyle w:val="Hyperlink"/>
            <w:noProof/>
          </w:rPr>
          <w:t>Figure 9  FCT Support instances/types in the representative and repeating sub-assemblies of the FCT</w:t>
        </w:r>
        <w:r>
          <w:rPr>
            <w:noProof/>
            <w:webHidden/>
          </w:rPr>
          <w:tab/>
        </w:r>
        <w:r>
          <w:rPr>
            <w:noProof/>
            <w:webHidden/>
          </w:rPr>
          <w:fldChar w:fldCharType="begin"/>
        </w:r>
        <w:r>
          <w:rPr>
            <w:noProof/>
            <w:webHidden/>
          </w:rPr>
          <w:instrText xml:space="preserve"> PAGEREF _Toc50585550 \h </w:instrText>
        </w:r>
        <w:r>
          <w:rPr>
            <w:noProof/>
            <w:webHidden/>
          </w:rPr>
        </w:r>
        <w:r>
          <w:rPr>
            <w:noProof/>
            <w:webHidden/>
          </w:rPr>
          <w:fldChar w:fldCharType="separate"/>
        </w:r>
        <w:r>
          <w:rPr>
            <w:noProof/>
            <w:webHidden/>
          </w:rPr>
          <w:t>29</w:t>
        </w:r>
        <w:r>
          <w:rPr>
            <w:noProof/>
            <w:webHidden/>
          </w:rPr>
          <w:fldChar w:fldCharType="end"/>
        </w:r>
      </w:hyperlink>
    </w:p>
    <w:p w14:paraId="60448128" w14:textId="6ADB3D3A"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51" w:history="1">
        <w:r w:rsidRPr="00C9584E">
          <w:rPr>
            <w:rStyle w:val="Hyperlink"/>
            <w:noProof/>
          </w:rPr>
          <w:t>Figure 10  Gravitational load and lateral seismic, static-equivalent load</w:t>
        </w:r>
        <w:r>
          <w:rPr>
            <w:noProof/>
            <w:webHidden/>
          </w:rPr>
          <w:tab/>
        </w:r>
        <w:r>
          <w:rPr>
            <w:noProof/>
            <w:webHidden/>
          </w:rPr>
          <w:fldChar w:fldCharType="begin"/>
        </w:r>
        <w:r>
          <w:rPr>
            <w:noProof/>
            <w:webHidden/>
          </w:rPr>
          <w:instrText xml:space="preserve"> PAGEREF _Toc50585551 \h </w:instrText>
        </w:r>
        <w:r>
          <w:rPr>
            <w:noProof/>
            <w:webHidden/>
          </w:rPr>
        </w:r>
        <w:r>
          <w:rPr>
            <w:noProof/>
            <w:webHidden/>
          </w:rPr>
          <w:fldChar w:fldCharType="separate"/>
        </w:r>
        <w:r>
          <w:rPr>
            <w:noProof/>
            <w:webHidden/>
          </w:rPr>
          <w:t>30</w:t>
        </w:r>
        <w:r>
          <w:rPr>
            <w:noProof/>
            <w:webHidden/>
          </w:rPr>
          <w:fldChar w:fldCharType="end"/>
        </w:r>
      </w:hyperlink>
    </w:p>
    <w:p w14:paraId="3F1BC16F" w14:textId="017CBA6A"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52" w:history="1">
        <w:r w:rsidRPr="00C9584E">
          <w:rPr>
            <w:rStyle w:val="Hyperlink"/>
            <w:noProof/>
          </w:rPr>
          <w:t>Figure 11  Gravitational load and longitudinal seismic, static-equivalent load</w:t>
        </w:r>
        <w:r>
          <w:rPr>
            <w:noProof/>
            <w:webHidden/>
          </w:rPr>
          <w:tab/>
        </w:r>
        <w:r>
          <w:rPr>
            <w:noProof/>
            <w:webHidden/>
          </w:rPr>
          <w:fldChar w:fldCharType="begin"/>
        </w:r>
        <w:r>
          <w:rPr>
            <w:noProof/>
            <w:webHidden/>
          </w:rPr>
          <w:instrText xml:space="preserve"> PAGEREF _Toc50585552 \h </w:instrText>
        </w:r>
        <w:r>
          <w:rPr>
            <w:noProof/>
            <w:webHidden/>
          </w:rPr>
        </w:r>
        <w:r>
          <w:rPr>
            <w:noProof/>
            <w:webHidden/>
          </w:rPr>
          <w:fldChar w:fldCharType="separate"/>
        </w:r>
        <w:r>
          <w:rPr>
            <w:noProof/>
            <w:webHidden/>
          </w:rPr>
          <w:t>30</w:t>
        </w:r>
        <w:r>
          <w:rPr>
            <w:noProof/>
            <w:webHidden/>
          </w:rPr>
          <w:fldChar w:fldCharType="end"/>
        </w:r>
      </w:hyperlink>
    </w:p>
    <w:p w14:paraId="26D89A5D" w14:textId="5A31617E" w:rsidR="00102C1B" w:rsidRDefault="00102C1B">
      <w:pPr>
        <w:pStyle w:val="TableofFigures"/>
        <w:tabs>
          <w:tab w:val="right" w:leader="dot" w:pos="9580"/>
        </w:tabs>
        <w:rPr>
          <w:rFonts w:asciiTheme="minorHAnsi" w:eastAsiaTheme="minorEastAsia" w:hAnsiTheme="minorHAnsi" w:cstheme="minorBidi"/>
          <w:i w:val="0"/>
          <w:iCs w:val="0"/>
          <w:noProof/>
          <w:sz w:val="22"/>
          <w:szCs w:val="22"/>
        </w:rPr>
      </w:pPr>
      <w:hyperlink w:anchor="_Toc50585553" w:history="1">
        <w:r w:rsidRPr="00C9584E">
          <w:rPr>
            <w:rStyle w:val="Hyperlink"/>
            <w:noProof/>
          </w:rPr>
          <w:t>Figure 12  Typical BT enclosure slip form slab</w:t>
        </w:r>
        <w:r>
          <w:rPr>
            <w:noProof/>
            <w:webHidden/>
          </w:rPr>
          <w:tab/>
        </w:r>
        <w:r>
          <w:rPr>
            <w:noProof/>
            <w:webHidden/>
          </w:rPr>
          <w:fldChar w:fldCharType="begin"/>
        </w:r>
        <w:r>
          <w:rPr>
            <w:noProof/>
            <w:webHidden/>
          </w:rPr>
          <w:instrText xml:space="preserve"> PAGEREF _Toc50585553 \h </w:instrText>
        </w:r>
        <w:r>
          <w:rPr>
            <w:noProof/>
            <w:webHidden/>
          </w:rPr>
        </w:r>
        <w:r>
          <w:rPr>
            <w:noProof/>
            <w:webHidden/>
          </w:rPr>
          <w:fldChar w:fldCharType="separate"/>
        </w:r>
        <w:r>
          <w:rPr>
            <w:noProof/>
            <w:webHidden/>
          </w:rPr>
          <w:t>32</w:t>
        </w:r>
        <w:r>
          <w:rPr>
            <w:noProof/>
            <w:webHidden/>
          </w:rPr>
          <w:fldChar w:fldCharType="end"/>
        </w:r>
      </w:hyperlink>
    </w:p>
    <w:p w14:paraId="5EA47557" w14:textId="5277791D" w:rsidR="00260091" w:rsidRDefault="00260091" w:rsidP="009877A1">
      <w:r>
        <w:fldChar w:fldCharType="end"/>
      </w:r>
    </w:p>
    <w:p w14:paraId="3461D779" w14:textId="77777777" w:rsidR="009877A1" w:rsidRDefault="009877A1">
      <w:pPr>
        <w:spacing w:before="0"/>
        <w:jc w:val="left"/>
      </w:pPr>
      <w:r>
        <w:br w:type="page"/>
      </w:r>
    </w:p>
    <w:p w14:paraId="3CF2D8B6" w14:textId="77777777" w:rsidR="009877A1" w:rsidRPr="009877A1" w:rsidRDefault="009877A1" w:rsidP="009877A1"/>
    <w:p w14:paraId="3E7A9F1C" w14:textId="77777777" w:rsidR="005F48B2" w:rsidRDefault="005F48B2">
      <w:pPr>
        <w:pStyle w:val="Heading1"/>
      </w:pPr>
      <w:bookmarkStart w:id="0" w:name="_Toc50585509"/>
      <w:r>
        <w:t>Introduction</w:t>
      </w:r>
      <w:bookmarkEnd w:id="0"/>
    </w:p>
    <w:p w14:paraId="0289BE15" w14:textId="6458662A" w:rsidR="003D0E4E" w:rsidRDefault="003D0E4E" w:rsidP="00945DEC">
      <w:r>
        <w:t>The Filter Cavity Tube (FCT) supports must be anchored to the floor slabs in the corner station, the FCT Enclosure (FCTE) and the FC End Station (FCES). The purpose of this document is to provide a calculation of the loads at the interface with the floor slabs and a design for embedded anchors capable of sustaining these loads.</w:t>
      </w:r>
    </w:p>
    <w:p w14:paraId="2E54350C" w14:textId="3ED04E2D" w:rsidR="00BA4A55" w:rsidRDefault="00BA4A55" w:rsidP="00BA4A55">
      <w:pPr>
        <w:pStyle w:val="Heading1"/>
      </w:pPr>
      <w:bookmarkStart w:id="1" w:name="_Toc50585510"/>
      <w:r>
        <w:t>FCT Layout</w:t>
      </w:r>
      <w:bookmarkEnd w:id="1"/>
    </w:p>
    <w:p w14:paraId="61813A13" w14:textId="03116928" w:rsidR="003D0E4E" w:rsidRDefault="003D0E4E" w:rsidP="00945DEC">
      <w:r>
        <w:t xml:space="preserve">The height of the FCT relative to the floor varies as shown in </w:t>
      </w:r>
      <w:r w:rsidR="005C4800">
        <w:fldChar w:fldCharType="begin"/>
      </w:r>
      <w:r w:rsidR="005C4800">
        <w:instrText xml:space="preserve"> REF _Ref45461147 \h </w:instrText>
      </w:r>
      <w:r w:rsidR="005C4800">
        <w:fldChar w:fldCharType="separate"/>
      </w:r>
      <w:r w:rsidR="00102C1B">
        <w:t xml:space="preserve">Figure </w:t>
      </w:r>
      <w:r w:rsidR="00102C1B">
        <w:rPr>
          <w:noProof/>
        </w:rPr>
        <w:t>1</w:t>
      </w:r>
      <w:r w:rsidR="005C4800">
        <w:fldChar w:fldCharType="end"/>
      </w:r>
      <w:r>
        <w:t>. For this analysis the maximum height has been used (resulting in the largest moments at the interface with the floor).</w:t>
      </w:r>
    </w:p>
    <w:p w14:paraId="2C555E38" w14:textId="6EBF50EF" w:rsidR="003D0E4E" w:rsidRDefault="00805C15" w:rsidP="00945DEC">
      <w:r w:rsidRPr="00805C15">
        <w:drawing>
          <wp:inline distT="0" distB="0" distL="0" distR="0" wp14:anchorId="55440EC1" wp14:editId="42EE8F9B">
            <wp:extent cx="6089650" cy="158447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50" cy="1584471"/>
                    </a:xfrm>
                    <a:prstGeom prst="rect">
                      <a:avLst/>
                    </a:prstGeom>
                    <a:noFill/>
                    <a:ln>
                      <a:noFill/>
                    </a:ln>
                  </pic:spPr>
                </pic:pic>
              </a:graphicData>
            </a:graphic>
          </wp:inline>
        </w:drawing>
      </w:r>
    </w:p>
    <w:p w14:paraId="2568DF68" w14:textId="69585082" w:rsidR="005C4800" w:rsidRDefault="005C4800" w:rsidP="005C4800">
      <w:pPr>
        <w:pStyle w:val="Caption"/>
      </w:pPr>
      <w:bookmarkStart w:id="2" w:name="_Ref45461147"/>
      <w:bookmarkStart w:id="3" w:name="_Toc50585542"/>
      <w:r>
        <w:t xml:space="preserve">Figure </w:t>
      </w:r>
      <w:r>
        <w:fldChar w:fldCharType="begin"/>
      </w:r>
      <w:r>
        <w:instrText>SEQ Figure \* ARABIC</w:instrText>
      </w:r>
      <w:r>
        <w:fldChar w:fldCharType="separate"/>
      </w:r>
      <w:r w:rsidR="00102C1B">
        <w:rPr>
          <w:noProof/>
        </w:rPr>
        <w:t>1</w:t>
      </w:r>
      <w:r>
        <w:fldChar w:fldCharType="end"/>
      </w:r>
      <w:bookmarkEnd w:id="2"/>
      <w:r>
        <w:t xml:space="preserve">  Height of FCT relative to the floor</w:t>
      </w:r>
      <w:bookmarkEnd w:id="3"/>
    </w:p>
    <w:p w14:paraId="4CDB42AD" w14:textId="12D127C7" w:rsidR="005C4800" w:rsidRPr="005C4800" w:rsidRDefault="005C4800" w:rsidP="005C4800">
      <w:pPr>
        <w:rPr>
          <w:i/>
          <w:sz w:val="20"/>
        </w:rPr>
      </w:pPr>
      <w:r w:rsidRPr="005C4800">
        <w:rPr>
          <w:i/>
          <w:sz w:val="20"/>
        </w:rPr>
        <w:t>Dimensions from the A+ vacuum equipment drawings (</w:t>
      </w:r>
      <w:r w:rsidR="00805C15">
        <w:rPr>
          <w:i/>
          <w:sz w:val="20"/>
        </w:rPr>
        <w:t>D1800238-v14 and D1800241-v11</w:t>
      </w:r>
      <w:r w:rsidRPr="005C4800">
        <w:rPr>
          <w:i/>
          <w:sz w:val="20"/>
        </w:rPr>
        <w:t>)</w:t>
      </w:r>
      <w:r>
        <w:rPr>
          <w:i/>
          <w:sz w:val="20"/>
        </w:rPr>
        <w:t xml:space="preserve"> and drawing </w:t>
      </w:r>
      <w:r w:rsidRPr="005C4800">
        <w:rPr>
          <w:i/>
          <w:sz w:val="20"/>
        </w:rPr>
        <w:t>D950148-v2.</w:t>
      </w:r>
    </w:p>
    <w:p w14:paraId="64FB31AA" w14:textId="1C557D0A" w:rsidR="00BA4A55" w:rsidRDefault="00BA4A55" w:rsidP="00BA4A55">
      <w:pPr>
        <w:pStyle w:val="Heading1"/>
      </w:pPr>
      <w:bookmarkStart w:id="4" w:name="_Toc50585511"/>
      <w:r>
        <w:t>Support types</w:t>
      </w:r>
      <w:bookmarkEnd w:id="4"/>
    </w:p>
    <w:p w14:paraId="038442D2" w14:textId="2E895128" w:rsidR="005C4800" w:rsidRDefault="005C4800" w:rsidP="00945DEC">
      <w:r>
        <w:t>The design of the FCT supports</w:t>
      </w:r>
      <w:r w:rsidR="006731EF">
        <w:rPr>
          <w:rStyle w:val="FootnoteReference"/>
        </w:rPr>
        <w:footnoteReference w:id="1"/>
      </w:r>
      <w:r>
        <w:t xml:space="preserve"> calls for two basic types of supports, fixed and guided. Between each section of the FCT (see</w:t>
      </w:r>
      <w:r w:rsidR="006731EF">
        <w:t xml:space="preserve"> layout</w:t>
      </w:r>
      <w:r>
        <w:t xml:space="preserve"> </w:t>
      </w:r>
      <w:hyperlink r:id="rId9" w:history="1">
        <w:r w:rsidR="004B52E1" w:rsidRPr="006731EF">
          <w:rPr>
            <w:rStyle w:val="Hyperlink"/>
          </w:rPr>
          <w:t>LIGO-</w:t>
        </w:r>
        <w:r w:rsidR="006731EF" w:rsidRPr="006731EF">
          <w:rPr>
            <w:rStyle w:val="Hyperlink"/>
          </w:rPr>
          <w:t>D1900456</w:t>
        </w:r>
      </w:hyperlink>
      <w:r>
        <w:t xml:space="preserve">) there are gate valves adjacent to fixed supports. These gate valves can be used to isolate the sections so that vacuum and atmospheric pressure can be applied to any section. Consequently from a load analysis point of view, there are three </w:t>
      </w:r>
      <w:r w:rsidR="00EF00DF">
        <w:t xml:space="preserve">basic </w:t>
      </w:r>
      <w:r>
        <w:t>support types:</w:t>
      </w:r>
    </w:p>
    <w:p w14:paraId="4D1D0520" w14:textId="01BCFEBF" w:rsidR="006731EF" w:rsidRDefault="006731EF" w:rsidP="00AA5B1C">
      <w:pPr>
        <w:pStyle w:val="ListParagraph"/>
        <w:numPr>
          <w:ilvl w:val="0"/>
          <w:numId w:val="21"/>
        </w:numPr>
      </w:pPr>
      <w:r>
        <w:t>Guided (G) Support: the tube is free to move axially and in rotations, but limited in lateral and vertical motion (i.e. slides on a horizontal plane with limit stops to prevent large lateral or upward motions in the event of an earthquake). During normal operational use, the Guided Supports would not apply any lateral loads to the FCT (only potentially an upward force).</w:t>
      </w:r>
    </w:p>
    <w:p w14:paraId="175FE6CC" w14:textId="77777777" w:rsidR="006731EF" w:rsidRDefault="006731EF" w:rsidP="00AA5B1C">
      <w:pPr>
        <w:pStyle w:val="ListParagraph"/>
        <w:numPr>
          <w:ilvl w:val="0"/>
          <w:numId w:val="21"/>
        </w:numPr>
      </w:pPr>
      <w:r>
        <w:t>Fixed (F) Support: the tube is constrained in all degrees-of-freedom</w:t>
      </w:r>
    </w:p>
    <w:p w14:paraId="717BE492" w14:textId="44004FA2" w:rsidR="006731EF" w:rsidRDefault="006731EF" w:rsidP="00AA5B1C">
      <w:pPr>
        <w:pStyle w:val="ListParagraph"/>
        <w:numPr>
          <w:ilvl w:val="0"/>
          <w:numId w:val="21"/>
        </w:numPr>
      </w:pPr>
      <w:r>
        <w:t>Fixed/Gated (F/G) Support: a fixed support adjacent to a closed gate valve. A closed gate valve can apply atmospheric loads to the fixed support in either axial (y) direction</w:t>
      </w:r>
    </w:p>
    <w:p w14:paraId="1A918EA2" w14:textId="6AF5DB60" w:rsidR="00AA5B1C" w:rsidRDefault="00AA5B1C" w:rsidP="00945DEC">
      <w:r>
        <w:t xml:space="preserve">A number of optical baffles are installed within the FCT. In order to limit the decentering error of the central aperture of these baffles, the FCT should ideally be straight. Given the tolerances of the FCT it may be necessary (or desirable) to limit the magnitude of FCT non-straightness. This can be accomplished by measuring each tube module and then selecting which to join together and at what </w:t>
      </w:r>
      <w:r>
        <w:lastRenderedPageBreak/>
        <w:t xml:space="preserve">rotation angle (‘clocking’). Alternatively, or additionally, one could require the guided support to not only prevent the tube from sagging downward, but also </w:t>
      </w:r>
      <w:r w:rsidR="0027638C">
        <w:t>impose lateral or vertical forces to correct mis-alignment due to FCT tolerance build-up:</w:t>
      </w:r>
    </w:p>
    <w:p w14:paraId="5AFBD81C" w14:textId="08BB7559" w:rsidR="006731EF" w:rsidRDefault="006731EF" w:rsidP="0027638C">
      <w:pPr>
        <w:pStyle w:val="ListParagraph"/>
        <w:numPr>
          <w:ilvl w:val="0"/>
          <w:numId w:val="22"/>
        </w:numPr>
      </w:pPr>
      <w:r>
        <w:t>Alternative Guided (AG) Support: the tube is free to move axially but is restricted from movement in the lateral and vertical directions (i.e. slides only in the axial direction with very little (if any) allowed motion horizontally and vertically). During normal operational use, the Alternative Guided Supports may impose static lateral and/or vertical forces to the FCT in order to straighten the FCT.</w:t>
      </w:r>
    </w:p>
    <w:p w14:paraId="04CE9734" w14:textId="2E8AF5E2" w:rsidR="0027638C" w:rsidRDefault="0027638C" w:rsidP="00945DEC">
      <w:r>
        <w:t>Depending on FCT production tolerances and the feasibility of an AG support design, either a G or AG support will be employed (one or the other, not both).</w:t>
      </w:r>
    </w:p>
    <w:p w14:paraId="5F02CA2E" w14:textId="5CFD8470" w:rsidR="00945DEC" w:rsidRDefault="00945DEC" w:rsidP="00945DEC">
      <w:r>
        <w:t>For details of the calculation, see the excel workbook uploaded with this document in the LIGO Document Control Center (DCC).</w:t>
      </w:r>
    </w:p>
    <w:p w14:paraId="54E16A24" w14:textId="07F5756E" w:rsidR="249E2651" w:rsidRDefault="009A389D" w:rsidP="5D3328F3">
      <w:r>
        <w:t xml:space="preserve">A breakdown of the types of supports by location is given in </w:t>
      </w:r>
      <w:r>
        <w:fldChar w:fldCharType="begin"/>
      </w:r>
      <w:r>
        <w:instrText xml:space="preserve"> REF _Ref46587104 \h </w:instrText>
      </w:r>
      <w:r>
        <w:fldChar w:fldCharType="separate"/>
      </w:r>
      <w:r w:rsidR="00102C1B">
        <w:t xml:space="preserve">Table </w:t>
      </w:r>
      <w:r w:rsidR="00102C1B">
        <w:rPr>
          <w:noProof/>
        </w:rPr>
        <w:t>1</w:t>
      </w:r>
      <w:r>
        <w:fldChar w:fldCharType="end"/>
      </w:r>
      <w:r>
        <w:t xml:space="preserve">. </w:t>
      </w:r>
      <w:r w:rsidR="249E2651">
        <w:t>The FCT within the FCTE is separated by gate valves into three sections (</w:t>
      </w:r>
      <w:r w:rsidR="477CFBFD">
        <w:t xml:space="preserve">sections I, II and II of module FC-C in </w:t>
      </w:r>
      <w:hyperlink r:id="rId10" w:history="1">
        <w:r w:rsidRPr="009A389D">
          <w:rPr>
            <w:rStyle w:val="Hyperlink"/>
          </w:rPr>
          <w:t>LIGO-D1900456</w:t>
        </w:r>
      </w:hyperlink>
      <w:r w:rsidR="477CFBFD">
        <w:t>-v7).</w:t>
      </w:r>
      <w:r w:rsidR="000A4D4C">
        <w:t xml:space="preserve"> The fixed, and potentially gated, supports at the beginning, and end, of module FC-C are on the BT termination slab, and the FCES slab, respectively. The FCES floor slab will likely be thicker than the FCTE floor slab which, for cost considerations, may be considerably thinner. In this memo the interface loads on the supports within the FC</w:t>
      </w:r>
      <w:r w:rsidR="00E427B6">
        <w:t>T</w:t>
      </w:r>
      <w:r w:rsidR="000A4D4C">
        <w:t>E are presented, as well as a</w:t>
      </w:r>
      <w:r w:rsidR="00E427B6">
        <w:t>n</w:t>
      </w:r>
      <w:r w:rsidR="000A4D4C">
        <w:t xml:space="preserve"> embedded anchor design and required FCTE floor slab thickness.</w:t>
      </w:r>
    </w:p>
    <w:p w14:paraId="76366E73" w14:textId="3351EB4F" w:rsidR="009A389D" w:rsidRDefault="009A389D" w:rsidP="5D3328F3"/>
    <w:p w14:paraId="68BD0E30" w14:textId="3759934E" w:rsidR="009A389D" w:rsidRDefault="009A389D" w:rsidP="009A389D">
      <w:pPr>
        <w:pStyle w:val="Caption"/>
      </w:pPr>
      <w:bookmarkStart w:id="5" w:name="_Ref46587104"/>
      <w:bookmarkStart w:id="6" w:name="_Toc50585534"/>
      <w:r>
        <w:t xml:space="preserve">Table </w:t>
      </w:r>
      <w:r w:rsidR="00EE65F7">
        <w:fldChar w:fldCharType="begin"/>
      </w:r>
      <w:r w:rsidR="00EE65F7">
        <w:instrText xml:space="preserve"> SEQ Table \* ARABIC </w:instrText>
      </w:r>
      <w:r w:rsidR="00EE65F7">
        <w:fldChar w:fldCharType="separate"/>
      </w:r>
      <w:r w:rsidR="00102C1B">
        <w:rPr>
          <w:noProof/>
        </w:rPr>
        <w:t>1</w:t>
      </w:r>
      <w:r w:rsidR="00EE65F7">
        <w:rPr>
          <w:noProof/>
        </w:rPr>
        <w:fldChar w:fldCharType="end"/>
      </w:r>
      <w:bookmarkEnd w:id="5"/>
      <w:r>
        <w:t xml:space="preserve"> Filter Cavity Tube Support Types by Building Location</w:t>
      </w:r>
      <w:bookmarkEnd w:id="6"/>
    </w:p>
    <w:p w14:paraId="1B8101B0" w14:textId="04F740A8" w:rsidR="009A389D" w:rsidRPr="009A389D" w:rsidRDefault="009A389D" w:rsidP="009A389D">
      <w:pPr>
        <w:jc w:val="center"/>
      </w:pPr>
      <w:r w:rsidRPr="009A389D">
        <w:rPr>
          <w:noProof/>
        </w:rPr>
        <w:drawing>
          <wp:inline distT="0" distB="0" distL="0" distR="0" wp14:anchorId="2456E057" wp14:editId="3B674CBA">
            <wp:extent cx="3663315" cy="1834515"/>
            <wp:effectExtent l="0" t="0" r="0" b="0"/>
            <wp:docPr id="499319729" name="Picture 49931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315" cy="1834515"/>
                    </a:xfrm>
                    <a:prstGeom prst="rect">
                      <a:avLst/>
                    </a:prstGeom>
                    <a:noFill/>
                    <a:ln>
                      <a:noFill/>
                    </a:ln>
                  </pic:spPr>
                </pic:pic>
              </a:graphicData>
            </a:graphic>
          </wp:inline>
        </w:drawing>
      </w:r>
    </w:p>
    <w:p w14:paraId="18FCB4D6" w14:textId="43ED620F" w:rsidR="00A96A07" w:rsidRDefault="00A96A07" w:rsidP="00A96A07">
      <w:pPr>
        <w:pStyle w:val="Heading1"/>
      </w:pPr>
      <w:bookmarkStart w:id="7" w:name="_Ref50583350"/>
      <w:bookmarkStart w:id="8" w:name="_Toc50585512"/>
      <w:r>
        <w:t>Support description</w:t>
      </w:r>
      <w:bookmarkEnd w:id="7"/>
      <w:bookmarkEnd w:id="8"/>
    </w:p>
    <w:p w14:paraId="58760E60" w14:textId="50574853" w:rsidR="00BE0FCD" w:rsidRDefault="00A96A07" w:rsidP="00BE0FCD">
      <w:r>
        <w:t>The support design concept</w:t>
      </w:r>
      <w:r>
        <w:rPr>
          <w:rStyle w:val="FootnoteReference"/>
        </w:rPr>
        <w:footnoteReference w:id="2"/>
      </w:r>
      <w:r>
        <w:t xml:space="preserve"> used in this load analysis is as indicated in </w:t>
      </w:r>
      <w:r>
        <w:fldChar w:fldCharType="begin"/>
      </w:r>
      <w:r>
        <w:instrText xml:space="preserve"> REF _Ref50118255 \h </w:instrText>
      </w:r>
      <w:r>
        <w:fldChar w:fldCharType="separate"/>
      </w:r>
      <w:r w:rsidR="00102C1B">
        <w:t xml:space="preserve">Figure </w:t>
      </w:r>
      <w:r w:rsidR="00102C1B">
        <w:rPr>
          <w:noProof/>
        </w:rPr>
        <w:t>2</w:t>
      </w:r>
      <w:r>
        <w:fldChar w:fldCharType="end"/>
      </w:r>
      <w:r>
        <w:t>.</w:t>
      </w:r>
      <w:r w:rsidR="00BE0FCD">
        <w:t xml:space="preserve"> For the tall supports (in the LVEA, FCTES and those on the FCTE slab near the FCTES) the tube loads imposed on the supports also impress high moments at the base of the supports, resulting in potentially high tension loads in the floor anchor bolts. Stiffening the base improves load transfer to the anchor bolts at the ends of the support plate to react against moments imposed by vacuum and axial earthquake loading, as depicted in </w:t>
      </w:r>
      <w:r w:rsidR="00BE0FCD">
        <w:fldChar w:fldCharType="begin"/>
      </w:r>
      <w:r w:rsidR="00BE0FCD">
        <w:instrText xml:space="preserve"> REF _Ref46576650 \h </w:instrText>
      </w:r>
      <w:r w:rsidR="00BE0FCD">
        <w:fldChar w:fldCharType="separate"/>
      </w:r>
      <w:r w:rsidR="00102C1B">
        <w:t xml:space="preserve">Figure </w:t>
      </w:r>
      <w:r w:rsidR="00102C1B">
        <w:rPr>
          <w:noProof/>
        </w:rPr>
        <w:t>5</w:t>
      </w:r>
      <w:r w:rsidR="00BE0FCD">
        <w:fldChar w:fldCharType="end"/>
      </w:r>
      <w:r w:rsidR="00BE0FCD">
        <w:t>.</w:t>
      </w:r>
    </w:p>
    <w:p w14:paraId="11245745" w14:textId="73702D11" w:rsidR="00BE0FCD" w:rsidRDefault="00BE0FCD" w:rsidP="00BE0FCD"/>
    <w:p w14:paraId="31B24012" w14:textId="5E26308F" w:rsidR="00A96A07" w:rsidRDefault="00A96A07" w:rsidP="00A96A07"/>
    <w:p w14:paraId="1E50D393" w14:textId="729196AF" w:rsidR="00A96A07" w:rsidRDefault="003F08ED" w:rsidP="00A96A07">
      <w:r w:rsidRPr="003F08ED">
        <w:drawing>
          <wp:inline distT="0" distB="0" distL="0" distR="0" wp14:anchorId="57E1B21E" wp14:editId="5AF3CB47">
            <wp:extent cx="6089650" cy="305131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9650" cy="3051317"/>
                    </a:xfrm>
                    <a:prstGeom prst="rect">
                      <a:avLst/>
                    </a:prstGeom>
                    <a:noFill/>
                    <a:ln>
                      <a:noFill/>
                    </a:ln>
                  </pic:spPr>
                </pic:pic>
              </a:graphicData>
            </a:graphic>
          </wp:inline>
        </w:drawing>
      </w:r>
    </w:p>
    <w:p w14:paraId="1DD16A7F" w14:textId="69109686" w:rsidR="00A96A07" w:rsidRDefault="00A96A07" w:rsidP="00A96A07">
      <w:pPr>
        <w:pStyle w:val="Caption"/>
        <w:spacing w:before="0"/>
      </w:pPr>
      <w:bookmarkStart w:id="9" w:name="_Ref50118255"/>
      <w:bookmarkStart w:id="10" w:name="_Toc50585543"/>
      <w:r>
        <w:t xml:space="preserve">Figure </w:t>
      </w:r>
      <w:r>
        <w:fldChar w:fldCharType="begin"/>
      </w:r>
      <w:r>
        <w:instrText xml:space="preserve"> SEQ Figure \* ARABIC </w:instrText>
      </w:r>
      <w:r>
        <w:fldChar w:fldCharType="separate"/>
      </w:r>
      <w:r w:rsidR="00102C1B">
        <w:rPr>
          <w:noProof/>
        </w:rPr>
        <w:t>2</w:t>
      </w:r>
      <w:r>
        <w:fldChar w:fldCharType="end"/>
      </w:r>
      <w:bookmarkEnd w:id="9"/>
      <w:r>
        <w:t xml:space="preserve"> </w:t>
      </w:r>
      <w:r w:rsidRPr="009C769F">
        <w:t>A representative section of the FCT showing Fixed and Guided Supp</w:t>
      </w:r>
      <w:r>
        <w:t>orts</w:t>
      </w:r>
      <w:bookmarkEnd w:id="10"/>
    </w:p>
    <w:p w14:paraId="05EF578B" w14:textId="18940DA6" w:rsidR="00A96A07" w:rsidRPr="009C769F" w:rsidRDefault="00A96A07" w:rsidP="00A96A07">
      <w:pPr>
        <w:rPr>
          <w:i/>
          <w:sz w:val="20"/>
        </w:rPr>
      </w:pPr>
      <w:r w:rsidRPr="009C769F">
        <w:rPr>
          <w:i/>
          <w:sz w:val="20"/>
        </w:rPr>
        <w:t>(The coordinate system shown in this figure is parallel to the LIGO global coordinate system</w:t>
      </w:r>
      <w:r w:rsidR="00DD6615">
        <w:rPr>
          <w:i/>
          <w:sz w:val="20"/>
        </w:rPr>
        <w:t xml:space="preserve">, </w:t>
      </w:r>
      <w:hyperlink r:id="rId13" w:history="1">
        <w:r w:rsidR="00DD6615" w:rsidRPr="00DD6615">
          <w:rPr>
            <w:rStyle w:val="Hyperlink"/>
            <w:i/>
            <w:sz w:val="20"/>
          </w:rPr>
          <w:t>LIGO-T980044</w:t>
        </w:r>
      </w:hyperlink>
      <w:r w:rsidRPr="009C769F">
        <w:rPr>
          <w:i/>
          <w:sz w:val="20"/>
        </w:rPr>
        <w:t>.)</w:t>
      </w:r>
    </w:p>
    <w:p w14:paraId="69F2DC8B" w14:textId="77777777" w:rsidR="00A96A07" w:rsidRPr="00857335" w:rsidRDefault="00A96A07" w:rsidP="00A96A07">
      <w:r w:rsidRPr="00857335">
        <w:t>The baseplate dimensions, anchor bolt hole spacing and number of anchor bolts was varied to minimize the bolt loading for a practical design and minimum floor slab depth. The recommended base plate sizes are:</w:t>
      </w:r>
    </w:p>
    <w:p w14:paraId="2503B90F" w14:textId="5E51ECFF" w:rsidR="00A96A07" w:rsidRPr="00857335" w:rsidRDefault="00A96A07" w:rsidP="00A96A07">
      <w:pPr>
        <w:pStyle w:val="ListParagraph"/>
        <w:numPr>
          <w:ilvl w:val="0"/>
          <w:numId w:val="10"/>
        </w:numPr>
      </w:pPr>
      <w:r w:rsidRPr="00857335">
        <w:rPr>
          <w:u w:val="single"/>
        </w:rPr>
        <w:t>Fixed/Gated</w:t>
      </w:r>
      <w:r w:rsidR="00DD6615">
        <w:rPr>
          <w:u w:val="single"/>
        </w:rPr>
        <w:t xml:space="preserve"> (F/G)</w:t>
      </w:r>
      <w:r w:rsidRPr="00857335">
        <w:rPr>
          <w:u w:val="single"/>
        </w:rPr>
        <w:t xml:space="preserve"> Supports</w:t>
      </w:r>
      <w:r w:rsidRPr="00857335">
        <w:t>: 17” in the x-direction an</w:t>
      </w:r>
      <w:r w:rsidR="00DD6615">
        <w:t xml:space="preserve">d 36” in the y-direction with </w:t>
      </w:r>
      <w:r w:rsidRPr="00857335">
        <w:t xml:space="preserve">anchors </w:t>
      </w:r>
      <w:r w:rsidR="00DD6615">
        <w:t>set back 1.5” from the plate edges at each corner (4</w:t>
      </w:r>
      <w:r w:rsidRPr="00857335">
        <w:t xml:space="preserve"> anchors total).</w:t>
      </w:r>
    </w:p>
    <w:p w14:paraId="1ADF31E5" w14:textId="1DCA4128" w:rsidR="00A96A07" w:rsidRPr="00857335" w:rsidRDefault="00A96A07" w:rsidP="00A96A07">
      <w:pPr>
        <w:pStyle w:val="ListParagraph"/>
        <w:numPr>
          <w:ilvl w:val="0"/>
          <w:numId w:val="10"/>
        </w:numPr>
      </w:pPr>
      <w:r w:rsidRPr="00857335">
        <w:rPr>
          <w:u w:val="single"/>
        </w:rPr>
        <w:t xml:space="preserve">Fixed </w:t>
      </w:r>
      <w:r w:rsidR="00DD6615">
        <w:rPr>
          <w:u w:val="single"/>
        </w:rPr>
        <w:t xml:space="preserve">(F) </w:t>
      </w:r>
      <w:r w:rsidRPr="00857335">
        <w:rPr>
          <w:u w:val="single"/>
        </w:rPr>
        <w:t>Supports</w:t>
      </w:r>
      <w:r w:rsidR="00DD6615">
        <w:rPr>
          <w:u w:val="single"/>
        </w:rPr>
        <w:t xml:space="preserve">, </w:t>
      </w:r>
      <w:r w:rsidR="00DD6615" w:rsidRPr="00857335">
        <w:rPr>
          <w:u w:val="single"/>
        </w:rPr>
        <w:t xml:space="preserve">Guided </w:t>
      </w:r>
      <w:r w:rsidR="00DD6615">
        <w:rPr>
          <w:u w:val="single"/>
        </w:rPr>
        <w:t xml:space="preserve">(G) </w:t>
      </w:r>
      <w:r w:rsidR="00DD6615" w:rsidRPr="00857335">
        <w:rPr>
          <w:u w:val="single"/>
        </w:rPr>
        <w:t>Supports</w:t>
      </w:r>
      <w:r w:rsidR="00DD6615">
        <w:rPr>
          <w:u w:val="single"/>
        </w:rPr>
        <w:t xml:space="preserve"> and Alternative Guided (AG) Supports</w:t>
      </w:r>
      <w:r w:rsidR="00DD6615">
        <w:t>: 14” in the x-direction and 1</w:t>
      </w:r>
      <w:r w:rsidRPr="00857335">
        <w:t xml:space="preserve">4” in the y-direction </w:t>
      </w:r>
      <w:r w:rsidR="00DD6615">
        <w:t xml:space="preserve">with </w:t>
      </w:r>
      <w:r w:rsidR="00DD6615" w:rsidRPr="00857335">
        <w:t xml:space="preserve">anchors </w:t>
      </w:r>
      <w:r w:rsidR="00DD6615">
        <w:t>set back 1.5” from the plate edges at each corner (4</w:t>
      </w:r>
      <w:r w:rsidR="00DD6615" w:rsidRPr="00857335">
        <w:t xml:space="preserve"> anchors total)</w:t>
      </w:r>
      <w:r w:rsidRPr="00857335">
        <w:t>.</w:t>
      </w:r>
    </w:p>
    <w:p w14:paraId="6EB6D658" w14:textId="42715486" w:rsidR="00A96A07" w:rsidRDefault="00A96A07" w:rsidP="00A96A07">
      <w:r w:rsidRPr="00857335">
        <w:t xml:space="preserve">The recommended anchors are 1/2" diameter, Hilti HAS-B-105 (or similar) anchors embedded at least 4.5” and adhesively bonded. This arrangement is calculated to have </w:t>
      </w:r>
      <w:r w:rsidR="00DD6615">
        <w:t>adequate resistance to the loads using the ASCE 17-6 LRFD approach</w:t>
      </w:r>
      <w:r w:rsidRPr="00857335">
        <w:t>.</w:t>
      </w:r>
    </w:p>
    <w:p w14:paraId="7E266680" w14:textId="77777777" w:rsidR="00A96A07" w:rsidRDefault="00A96A07" w:rsidP="00A96A07">
      <w:pPr>
        <w:pStyle w:val="Heading1"/>
      </w:pPr>
      <w:bookmarkStart w:id="11" w:name="_Toc50585513"/>
      <w:r>
        <w:t>FCTE slab interface requirements</w:t>
      </w:r>
      <w:bookmarkEnd w:id="11"/>
    </w:p>
    <w:p w14:paraId="223744B9" w14:textId="5ABDFF2E" w:rsidR="00A96A07" w:rsidRDefault="00A96A07" w:rsidP="00A96A07">
      <w:r>
        <w:t>The FCT supports are anchored to the FCTE floor slab, the FCES floor slab and the LVEA floor slab. The extant LVEA floor slab is 30” thick and heavily reinforced (</w:t>
      </w:r>
      <w:hyperlink r:id="rId14" w:history="1">
        <w:r w:rsidR="00E221A1" w:rsidRPr="00E221A1">
          <w:rPr>
            <w:rStyle w:val="Hyperlink"/>
          </w:rPr>
          <w:t>LIGO-D960917</w:t>
        </w:r>
      </w:hyperlink>
      <w:r w:rsidR="006428D4">
        <w:t>). The FCES floor slab will be 6</w:t>
      </w:r>
      <w:r>
        <w:t>” thick (</w:t>
      </w:r>
      <w:hyperlink r:id="rId15" w:history="1">
        <w:r w:rsidR="008E278E" w:rsidRPr="008E278E">
          <w:rPr>
            <w:rStyle w:val="Hyperlink"/>
          </w:rPr>
          <w:t>LIGO-M2000160</w:t>
        </w:r>
      </w:hyperlink>
      <w:r w:rsidR="008E278E">
        <w:t>-v1</w:t>
      </w:r>
      <w:r w:rsidR="00565582">
        <w:t xml:space="preserve"> and detail 2 on drawing S301 in </w:t>
      </w:r>
      <w:hyperlink r:id="rId16" w:history="1">
        <w:r w:rsidR="00565582" w:rsidRPr="00565582">
          <w:rPr>
            <w:rStyle w:val="Hyperlink"/>
          </w:rPr>
          <w:t>LIGO-E2000380</w:t>
        </w:r>
      </w:hyperlink>
      <w:r w:rsidR="00565582">
        <w:t>-v1</w:t>
      </w:r>
      <w:r>
        <w:t xml:space="preserve">). The FCTE floor slab will be </w:t>
      </w:r>
      <w:r w:rsidR="00565582">
        <w:t>8</w:t>
      </w:r>
      <w:r>
        <w:t>” thick (</w:t>
      </w:r>
      <w:r w:rsidR="00565582">
        <w:t xml:space="preserve">detail 4 on drawing S301 in </w:t>
      </w:r>
      <w:hyperlink r:id="rId17" w:history="1">
        <w:r w:rsidR="00565582" w:rsidRPr="00565582">
          <w:rPr>
            <w:rStyle w:val="Hyperlink"/>
          </w:rPr>
          <w:t>LIGO-E2000380</w:t>
        </w:r>
      </w:hyperlink>
      <w:r w:rsidR="00565582">
        <w:t>-v1</w:t>
      </w:r>
      <w:r>
        <w:t>).</w:t>
      </w:r>
    </w:p>
    <w:p w14:paraId="3D542960" w14:textId="77777777" w:rsidR="00A96A07" w:rsidRDefault="00A96A07" w:rsidP="00A96A07">
      <w:r>
        <w:t>The FCTE interface requirements on the floor slab are identical for the LHO and LLO installations, and are as follows:</w:t>
      </w:r>
    </w:p>
    <w:p w14:paraId="60C41C3E" w14:textId="31DA84FA" w:rsidR="00A96A07" w:rsidRDefault="00A96A07" w:rsidP="00A96A07">
      <w:r>
        <w:t xml:space="preserve">1. Each filter cavity beamtube is supported along its length by supports which are anchored to the concrete floor by adhesively bonded anchors. Each support has a rectangular baseplate spanning 17” </w:t>
      </w:r>
      <w:r>
        <w:lastRenderedPageBreak/>
        <w:t>in X and 36” in Y</w:t>
      </w:r>
      <w:r w:rsidR="00E221A1">
        <w:t>, or 14” in X and in Y</w:t>
      </w:r>
      <w:r>
        <w:t xml:space="preserve"> (LIGO global coordinates used throughout, </w:t>
      </w:r>
      <w:hyperlink r:id="rId18" w:history="1">
        <w:r w:rsidR="00E221A1" w:rsidRPr="00E221A1">
          <w:rPr>
            <w:rStyle w:val="Hyperlink"/>
          </w:rPr>
          <w:t>LIGO-T980044</w:t>
        </w:r>
      </w:hyperlink>
      <w:r>
        <w:t xml:space="preserve">). Refer to </w:t>
      </w:r>
      <w:hyperlink r:id="rId19" w:history="1">
        <w:r w:rsidR="00E221A1" w:rsidRPr="00E221A1">
          <w:rPr>
            <w:rStyle w:val="Hyperlink"/>
          </w:rPr>
          <w:t>LIGO-</w:t>
        </w:r>
        <w:r w:rsidRPr="00E221A1">
          <w:rPr>
            <w:rStyle w:val="Hyperlink"/>
          </w:rPr>
          <w:t>T2000002</w:t>
        </w:r>
      </w:hyperlink>
      <w:r w:rsidRPr="00E221A1">
        <w:t xml:space="preserve"> </w:t>
      </w:r>
      <w:r>
        <w:t xml:space="preserve">and </w:t>
      </w:r>
      <w:hyperlink r:id="rId20" w:history="1">
        <w:r w:rsidR="00E221A1" w:rsidRPr="00E221A1">
          <w:rPr>
            <w:rStyle w:val="Hyperlink"/>
          </w:rPr>
          <w:t>LIGO-</w:t>
        </w:r>
        <w:r w:rsidRPr="00E221A1">
          <w:rPr>
            <w:rStyle w:val="Hyperlink"/>
          </w:rPr>
          <w:t>T2000475</w:t>
        </w:r>
      </w:hyperlink>
      <w:r w:rsidRPr="00E221A1">
        <w:t xml:space="preserve"> </w:t>
      </w:r>
      <w:r>
        <w:t xml:space="preserve">for design </w:t>
      </w:r>
      <w:r w:rsidR="00E221A1">
        <w:t>description</w:t>
      </w:r>
      <w:r>
        <w:t xml:space="preserve">. </w:t>
      </w:r>
    </w:p>
    <w:p w14:paraId="5E7C6497" w14:textId="77777777" w:rsidR="00A96A07" w:rsidRDefault="00A96A07" w:rsidP="00A96A07">
      <w:r>
        <w:t xml:space="preserve">2. The supports are variably spaced in Y at between 5’ and 15’ on-center, depending on local tube-mounted equipment. </w:t>
      </w:r>
    </w:p>
    <w:p w14:paraId="652BEE89" w14:textId="77777777" w:rsidR="00A96A07" w:rsidRDefault="00A96A07" w:rsidP="00A96A07">
      <w:r>
        <w:t>2a. Y positions can typically be adjusted at installation time by up to ± 1.5 ’ in order to avoid, for example, expansion joints as-built or other local obstructions.</w:t>
      </w:r>
    </w:p>
    <w:p w14:paraId="616AFD5F" w14:textId="31CE99FE" w:rsidR="00A96A07" w:rsidRDefault="00A96A07" w:rsidP="00A96A07">
      <w:r>
        <w:t xml:space="preserve">3. Each support baseplate will be anchored to the FCTE floor by </w:t>
      </w:r>
      <w:r w:rsidR="00E221A1">
        <w:t>four</w:t>
      </w:r>
      <w:r>
        <w:t xml:space="preserve"> epoxy anchors placed </w:t>
      </w:r>
      <w:r w:rsidR="00E221A1">
        <w:t>near each baseplate corner at a distance of 1.5” from each edge</w:t>
      </w:r>
      <w:r>
        <w:t xml:space="preserve">, geometrically centered in X below the FC tube axis. </w:t>
      </w:r>
    </w:p>
    <w:p w14:paraId="60870C29" w14:textId="77830C61" w:rsidR="00A96A07" w:rsidRDefault="00A96A07" w:rsidP="00A96A07">
      <w:r>
        <w:t>4. For 58 of the 60 instances mounted on the FCTE slab, 1/2” nominal diameter epoxy a</w:t>
      </w:r>
      <w:r w:rsidR="00E221A1">
        <w:t>nchors (e.g. Hilti type HAS-B-10</w:t>
      </w:r>
      <w:r>
        <w:t xml:space="preserve">5 or similar) with minimum embedment depth of 4.5” will suffice to provide adequate safety factor with respect to atmospheric, thermal expansion, and seismic (dynamic) loads under foreseeable conditions. </w:t>
      </w:r>
    </w:p>
    <w:p w14:paraId="37EA7B41" w14:textId="77777777" w:rsidR="00A96A07" w:rsidRDefault="00A96A07" w:rsidP="00A96A07">
      <w:r>
        <w:t>4b. The above presumes a reinforced concrete slab of 6” minimum thickness using 3,000 PSI nominal concrete.</w:t>
      </w:r>
    </w:p>
    <w:p w14:paraId="398737D8" w14:textId="77777777" w:rsidR="00A96A07" w:rsidRDefault="00A96A07" w:rsidP="00A96A07">
      <w:r>
        <w:t xml:space="preserve">4c. The slab reinforcement should have sufficient design margin that it will not be seriously compromised by occasional and incidental intersection of a drilled bolt hole with embedded reinforcement members. </w:t>
      </w:r>
    </w:p>
    <w:p w14:paraId="7CBCCB74" w14:textId="07A7AFAF" w:rsidR="00A96A07" w:rsidRPr="00E221A1" w:rsidRDefault="00E221A1" w:rsidP="00A96A07">
      <w:pPr>
        <w:rPr>
          <w:i/>
        </w:rPr>
      </w:pPr>
      <w:r w:rsidRPr="00E221A1">
        <w:rPr>
          <w:i/>
          <w:highlight w:val="yellow"/>
        </w:rPr>
        <w:t>Note: In version v3 of this document the need for two locally enhanced regions of the slab (with 9” minimum thickness) was called out for the F/G Supports within the FCTE. This is no longer found to be necessary. A uniformly 6” thick FCTE slab is adequate.</w:t>
      </w:r>
    </w:p>
    <w:p w14:paraId="46A7AA67" w14:textId="6C67FF71" w:rsidR="00BA4A55" w:rsidRDefault="00BA4A55" w:rsidP="00BA4A55">
      <w:pPr>
        <w:pStyle w:val="Heading1"/>
      </w:pPr>
      <w:bookmarkStart w:id="12" w:name="_Toc50585514"/>
      <w:r>
        <w:t>Load analysis caveats</w:t>
      </w:r>
      <w:bookmarkEnd w:id="12"/>
    </w:p>
    <w:p w14:paraId="231D2150" w14:textId="731D508A" w:rsidR="00E427B6" w:rsidRDefault="00E427B6" w:rsidP="00E427B6">
      <w:pPr>
        <w:keepNext/>
      </w:pPr>
      <w:r>
        <w:t>A few caveats and notes relating to this analysis:</w:t>
      </w:r>
    </w:p>
    <w:p w14:paraId="6660ED89" w14:textId="0250D6E3" w:rsidR="00E427B6" w:rsidRPr="003C1EFA" w:rsidRDefault="00E427B6" w:rsidP="001A49E3">
      <w:pPr>
        <w:pStyle w:val="ListParagraph"/>
        <w:numPr>
          <w:ilvl w:val="0"/>
          <w:numId w:val="7"/>
        </w:numPr>
        <w:rPr>
          <w:highlight w:val="yellow"/>
        </w:rPr>
      </w:pPr>
      <w:r w:rsidRPr="003C1EFA">
        <w:rPr>
          <w:highlight w:val="yellow"/>
        </w:rPr>
        <w:t xml:space="preserve">The FCT support </w:t>
      </w:r>
      <w:r w:rsidR="001C621F">
        <w:rPr>
          <w:highlight w:val="yellow"/>
        </w:rPr>
        <w:t xml:space="preserve">final </w:t>
      </w:r>
      <w:r w:rsidRPr="003C1EFA">
        <w:rPr>
          <w:highlight w:val="yellow"/>
        </w:rPr>
        <w:t xml:space="preserve">design </w:t>
      </w:r>
      <w:r w:rsidR="001C621F">
        <w:rPr>
          <w:highlight w:val="yellow"/>
        </w:rPr>
        <w:t>will be determined by the contracted fabrication company in accordance with specification E2000429</w:t>
      </w:r>
      <w:r w:rsidRPr="003C1EFA">
        <w:rPr>
          <w:highlight w:val="yellow"/>
        </w:rPr>
        <w:t>.</w:t>
      </w:r>
      <w:r w:rsidR="001C621F">
        <w:rPr>
          <w:highlight w:val="yellow"/>
        </w:rPr>
        <w:t xml:space="preserve"> If there are any significant changes from the support design assumed in this analysis the loads and anchor bolt reaction forces will need to be revisited.</w:t>
      </w:r>
    </w:p>
    <w:p w14:paraId="207564FE" w14:textId="238CBB36" w:rsidR="00EC6FC1" w:rsidRPr="003C1EFA" w:rsidRDefault="00EC6FC1" w:rsidP="001A49E3">
      <w:pPr>
        <w:pStyle w:val="ListParagraph"/>
        <w:numPr>
          <w:ilvl w:val="0"/>
          <w:numId w:val="7"/>
        </w:numPr>
        <w:rPr>
          <w:highlight w:val="yellow"/>
        </w:rPr>
      </w:pPr>
      <w:r w:rsidRPr="003C1EFA">
        <w:rPr>
          <w:highlight w:val="yellow"/>
        </w:rPr>
        <w:t xml:space="preserve">The Washington </w:t>
      </w:r>
      <w:r w:rsidR="003C1EFA" w:rsidRPr="003C1EFA">
        <w:rPr>
          <w:highlight w:val="yellow"/>
        </w:rPr>
        <w:t xml:space="preserve">and Louisiana </w:t>
      </w:r>
      <w:r w:rsidRPr="003C1EFA">
        <w:rPr>
          <w:highlight w:val="yellow"/>
        </w:rPr>
        <w:t>state amendments to the IBC 2015 standard have not been checked to see if the</w:t>
      </w:r>
      <w:r w:rsidR="001C621F">
        <w:rPr>
          <w:highlight w:val="yellow"/>
        </w:rPr>
        <w:t>y</w:t>
      </w:r>
      <w:r w:rsidRPr="003C1EFA">
        <w:rPr>
          <w:highlight w:val="yellow"/>
        </w:rPr>
        <w:t xml:space="preserve"> apply to this analysis as yet.</w:t>
      </w:r>
    </w:p>
    <w:p w14:paraId="4AE35196" w14:textId="3F8B545C" w:rsidR="007E27E8" w:rsidRPr="003C1EFA" w:rsidRDefault="007E27E8" w:rsidP="001A49E3">
      <w:pPr>
        <w:pStyle w:val="ListParagraph"/>
        <w:numPr>
          <w:ilvl w:val="0"/>
          <w:numId w:val="7"/>
        </w:numPr>
        <w:rPr>
          <w:highlight w:val="yellow"/>
        </w:rPr>
      </w:pPr>
      <w:r w:rsidRPr="003C1EFA">
        <w:rPr>
          <w:highlight w:val="yellow"/>
        </w:rPr>
        <w:t>The maximum allowable differential settlement for the FCT has not yet been established; the loads induced by settlement have not been included in this analysis.</w:t>
      </w:r>
    </w:p>
    <w:p w14:paraId="4E7F4320" w14:textId="334EA076" w:rsidR="003516AD" w:rsidRDefault="003516AD" w:rsidP="003516AD">
      <w:pPr>
        <w:pStyle w:val="Heading1"/>
      </w:pPr>
      <w:bookmarkStart w:id="13" w:name="_Toc50585515"/>
      <w:r>
        <w:t>Load Calculation methodolo</w:t>
      </w:r>
      <w:bookmarkStart w:id="14" w:name="_GoBack"/>
      <w:bookmarkEnd w:id="14"/>
      <w:r>
        <w:t>gy</w:t>
      </w:r>
      <w:bookmarkEnd w:id="13"/>
    </w:p>
    <w:p w14:paraId="033F0D1A" w14:textId="42461319" w:rsidR="003516AD" w:rsidRDefault="0028011A" w:rsidP="003516AD">
      <w:r>
        <w:t>Comments on t</w:t>
      </w:r>
      <w:r w:rsidR="003516AD">
        <w:t xml:space="preserve">he methodology used to calculate the loads imposed on the floor slab by the FCT support interface, are defined in the following sub-sections. The accompanying Excel workbook captures the parameters, equations and documents sources for calculating the loads. </w:t>
      </w:r>
    </w:p>
    <w:p w14:paraId="29520D81" w14:textId="77777777" w:rsidR="00D10BF5" w:rsidRDefault="00D10BF5" w:rsidP="00D10BF5">
      <w:pPr>
        <w:pStyle w:val="Heading2"/>
      </w:pPr>
      <w:bookmarkStart w:id="15" w:name="_Toc50585516"/>
      <w:r>
        <w:t>Requirements from ASCE 7-16</w:t>
      </w:r>
      <w:bookmarkEnd w:id="15"/>
    </w:p>
    <w:p w14:paraId="4BDCD87E" w14:textId="77777777" w:rsidR="00D10BF5" w:rsidRDefault="00D10BF5" w:rsidP="00D10BF5">
      <w:r>
        <w:t xml:space="preserve">The states of Washington and Louisiana have adopted the 2015 IBC (International Building Code) with amendments. According to IBC 2015 section 1613, “Earthquake Loads”: “Every structure, and </w:t>
      </w:r>
      <w:r>
        <w:lastRenderedPageBreak/>
        <w:t>portion thereof, including nonstructural components that are permanently attached to structures and their supports and attachments, shall be designed and constructed to resist the effects of earthquake motions in accordance with ASCE 7, excluding Chapter 14 and Appendix 11A. The seismic design category for a structure is permitted to be determined in accordance with Section 1613 or ASCE 7.”</w:t>
      </w:r>
    </w:p>
    <w:p w14:paraId="726A4751" w14:textId="77777777" w:rsidR="00D10BF5" w:rsidRPr="00BD7308" w:rsidRDefault="00D10BF5" w:rsidP="00D10BF5">
      <w:r>
        <w:t>In addition to seismic resistance, the following ASCE 7-16 requirements are relevant:</w:t>
      </w:r>
    </w:p>
    <w:p w14:paraId="3EC814E2" w14:textId="6F751FA0" w:rsidR="00D10BF5" w:rsidRPr="00986A2D" w:rsidRDefault="00D10BF5" w:rsidP="00D10BF5">
      <w:pPr>
        <w:pStyle w:val="ListParagraph"/>
        <w:numPr>
          <w:ilvl w:val="0"/>
          <w:numId w:val="13"/>
        </w:numPr>
      </w:pPr>
      <w:r w:rsidRPr="00986A2D">
        <w:t>Loading factors and load combinations</w:t>
      </w:r>
      <w:r w:rsidR="00CE2A9D" w:rsidRPr="00986A2D">
        <w:t xml:space="preserve"> (see section </w:t>
      </w:r>
      <w:r w:rsidR="00CE2A9D" w:rsidRPr="00986A2D">
        <w:fldChar w:fldCharType="begin"/>
      </w:r>
      <w:r w:rsidR="00CE2A9D" w:rsidRPr="00986A2D">
        <w:instrText xml:space="preserve"> REF _Ref46577314 \r \h </w:instrText>
      </w:r>
      <w:r w:rsidR="00986A2D">
        <w:instrText xml:space="preserve"> \* MERGEFORMAT </w:instrText>
      </w:r>
      <w:r w:rsidR="00CE2A9D" w:rsidRPr="00986A2D">
        <w:fldChar w:fldCharType="separate"/>
      </w:r>
      <w:r w:rsidR="00102C1B">
        <w:t>7.2</w:t>
      </w:r>
      <w:r w:rsidR="00CE2A9D" w:rsidRPr="00986A2D">
        <w:fldChar w:fldCharType="end"/>
      </w:r>
      <w:r w:rsidR="00CE2A9D" w:rsidRPr="00986A2D">
        <w:t>)</w:t>
      </w:r>
    </w:p>
    <w:p w14:paraId="723EDDB1" w14:textId="53A481C0" w:rsidR="00D10BF5" w:rsidRPr="00E221A1" w:rsidRDefault="00D10BF5" w:rsidP="00D10BF5">
      <w:pPr>
        <w:pStyle w:val="ListParagraph"/>
        <w:numPr>
          <w:ilvl w:val="0"/>
          <w:numId w:val="13"/>
        </w:numPr>
      </w:pPr>
      <w:r w:rsidRPr="00E221A1">
        <w:t>Section 14.1.2.2.2: Structural steel elements designed to resist seismic forces in Seismic Design Category D must comply with AISC 341, except as permitted in Table 15.4-1.</w:t>
      </w:r>
    </w:p>
    <w:p w14:paraId="54632AF0" w14:textId="77777777" w:rsidR="00D10BF5" w:rsidRPr="00E221A1" w:rsidRDefault="00D10BF5" w:rsidP="00D10BF5">
      <w:pPr>
        <w:pStyle w:val="ListParagraph"/>
        <w:numPr>
          <w:ilvl w:val="0"/>
          <w:numId w:val="13"/>
        </w:numPr>
      </w:pPr>
      <w:r w:rsidRPr="00E221A1">
        <w:t>Anchors in concrete shall be designed in accordance with ACI 318, Chapter 17.</w:t>
      </w:r>
    </w:p>
    <w:p w14:paraId="3BAC0250" w14:textId="308AAD3F" w:rsidR="003A4278" w:rsidRDefault="003A4278" w:rsidP="003A4278">
      <w:pPr>
        <w:pStyle w:val="Heading2"/>
      </w:pPr>
      <w:bookmarkStart w:id="16" w:name="_Ref46577314"/>
      <w:bookmarkStart w:id="17" w:name="_Toc50585517"/>
      <w:r>
        <w:t>Load Combinations</w:t>
      </w:r>
      <w:bookmarkEnd w:id="16"/>
      <w:bookmarkEnd w:id="17"/>
    </w:p>
    <w:p w14:paraId="1E0E9A1C" w14:textId="583E0D8A" w:rsidR="009C36B7" w:rsidRDefault="009C36B7" w:rsidP="009C36B7">
      <w:pPr>
        <w:pStyle w:val="Heading3"/>
      </w:pPr>
      <w:bookmarkStart w:id="18" w:name="_Toc50585518"/>
      <w:r>
        <w:t>LFRD versus ASD</w:t>
      </w:r>
      <w:bookmarkEnd w:id="18"/>
    </w:p>
    <w:p w14:paraId="18B12C02" w14:textId="421AED4E" w:rsidR="009C36B7" w:rsidRPr="009C36B7" w:rsidRDefault="009C36B7" w:rsidP="009C36B7">
      <w:r>
        <w:t>ASCE 7-16, section 2.1 requires using either Load and Resistance Factor Design (LRFD) or Allowable Stress Design (ASD), not both. Fundamentally these two design approaches are different ways at looking uncertainties and failure.</w:t>
      </w:r>
    </w:p>
    <w:p w14:paraId="50E19938" w14:textId="77777777" w:rsidR="003A4278" w:rsidRDefault="003A4278" w:rsidP="003A4278">
      <w:r>
        <w:t>Load combinations (ASCE 7-16, sections 2.3.1, 2.3.6) for strength:</w:t>
      </w:r>
    </w:p>
    <w:p w14:paraId="79BFD13B" w14:textId="77777777" w:rsidR="003A4278" w:rsidRDefault="003A4278" w:rsidP="003A4278">
      <w:pPr>
        <w:pStyle w:val="ListParagraph"/>
        <w:numPr>
          <w:ilvl w:val="0"/>
          <w:numId w:val="17"/>
        </w:numPr>
      </w:pPr>
      <w:r>
        <w:t>1.4 D</w:t>
      </w:r>
    </w:p>
    <w:p w14:paraId="4ECAC71C" w14:textId="77777777" w:rsidR="003A4278" w:rsidRDefault="003A4278" w:rsidP="003A4278">
      <w:pPr>
        <w:pStyle w:val="ListParagraph"/>
        <w:numPr>
          <w:ilvl w:val="0"/>
          <w:numId w:val="17"/>
        </w:numPr>
      </w:pPr>
      <w:r>
        <w:t>1.2 D + 1.6 L</w:t>
      </w:r>
    </w:p>
    <w:p w14:paraId="54454E9E" w14:textId="77777777" w:rsidR="003A4278" w:rsidRDefault="003A4278" w:rsidP="003A4278">
      <w:pPr>
        <w:pStyle w:val="ListParagraph"/>
        <w:numPr>
          <w:ilvl w:val="0"/>
          <w:numId w:val="17"/>
        </w:numPr>
      </w:pPr>
      <w:r>
        <w:t>1.2 D +</w:t>
      </w:r>
      <w:r w:rsidRPr="008E3EC3">
        <w:t xml:space="preserve"> </w:t>
      </w:r>
      <w:r>
        <w:t>E</w:t>
      </w:r>
      <w:r w:rsidRPr="00DC692E">
        <w:rPr>
          <w:vertAlign w:val="subscript"/>
        </w:rPr>
        <w:t>v</w:t>
      </w:r>
      <w:r>
        <w:t xml:space="preserve"> + E</w:t>
      </w:r>
      <w:r w:rsidRPr="00DC692E">
        <w:rPr>
          <w:vertAlign w:val="subscript"/>
        </w:rPr>
        <w:t>h</w:t>
      </w:r>
      <w:r>
        <w:t xml:space="preserve"> + L</w:t>
      </w:r>
    </w:p>
    <w:p w14:paraId="01E5EE40" w14:textId="77777777" w:rsidR="003A4278" w:rsidRDefault="003A4278" w:rsidP="003A4278">
      <w:pPr>
        <w:pStyle w:val="ListParagraph"/>
        <w:numPr>
          <w:ilvl w:val="0"/>
          <w:numId w:val="17"/>
        </w:numPr>
      </w:pPr>
      <w:r>
        <w:t>0.9 D – E</w:t>
      </w:r>
      <w:r w:rsidRPr="00DC692E">
        <w:rPr>
          <w:vertAlign w:val="subscript"/>
        </w:rPr>
        <w:t>v</w:t>
      </w:r>
      <w:r>
        <w:t xml:space="preserve"> + E</w:t>
      </w:r>
      <w:r w:rsidRPr="00DC692E">
        <w:rPr>
          <w:vertAlign w:val="subscript"/>
        </w:rPr>
        <w:t>h</w:t>
      </w:r>
    </w:p>
    <w:p w14:paraId="6CF1C179" w14:textId="77777777" w:rsidR="003A4278" w:rsidRDefault="003A4278" w:rsidP="003A4278">
      <w:pPr>
        <w:pStyle w:val="ListParagraph"/>
        <w:numPr>
          <w:ilvl w:val="0"/>
          <w:numId w:val="17"/>
        </w:numPr>
      </w:pPr>
      <w:r>
        <w:t>1.2 D + E</w:t>
      </w:r>
      <w:r w:rsidRPr="00DC692E">
        <w:rPr>
          <w:vertAlign w:val="subscript"/>
        </w:rPr>
        <w:t>v</w:t>
      </w:r>
      <w:r>
        <w:t xml:space="preserve"> + E</w:t>
      </w:r>
      <w:r w:rsidRPr="00DC692E">
        <w:rPr>
          <w:vertAlign w:val="subscript"/>
        </w:rPr>
        <w:t>mh</w:t>
      </w:r>
      <w:r>
        <w:t xml:space="preserve"> + L</w:t>
      </w:r>
    </w:p>
    <w:p w14:paraId="11982FF4" w14:textId="77777777" w:rsidR="003A4278" w:rsidRDefault="003A4278" w:rsidP="003A4278">
      <w:pPr>
        <w:pStyle w:val="ListParagraph"/>
        <w:numPr>
          <w:ilvl w:val="0"/>
          <w:numId w:val="17"/>
        </w:numPr>
      </w:pPr>
      <w:r>
        <w:t>0.9 D – E</w:t>
      </w:r>
      <w:r w:rsidRPr="00DC692E">
        <w:rPr>
          <w:vertAlign w:val="subscript"/>
        </w:rPr>
        <w:t>v</w:t>
      </w:r>
      <w:r>
        <w:t xml:space="preserve"> + E</w:t>
      </w:r>
      <w:r w:rsidRPr="00DC692E">
        <w:rPr>
          <w:vertAlign w:val="subscript"/>
        </w:rPr>
        <w:t>mh</w:t>
      </w:r>
    </w:p>
    <w:p w14:paraId="16746AE6" w14:textId="53A35EB2" w:rsidR="003A4278" w:rsidRDefault="009C36B7" w:rsidP="003A4278">
      <w:r>
        <w:t>o</w:t>
      </w:r>
      <w:r w:rsidR="003A4278">
        <w:t>r for allowable stress (ASCE 7-16, section 2.4.1 and 2.4.5):</w:t>
      </w:r>
    </w:p>
    <w:p w14:paraId="0B35C96F" w14:textId="77777777" w:rsidR="003A4278" w:rsidRDefault="003A4278" w:rsidP="003A4278">
      <w:pPr>
        <w:pStyle w:val="ListParagraph"/>
        <w:numPr>
          <w:ilvl w:val="0"/>
          <w:numId w:val="18"/>
        </w:numPr>
      </w:pPr>
      <w:r>
        <w:t>D</w:t>
      </w:r>
    </w:p>
    <w:p w14:paraId="297D4C91" w14:textId="77777777" w:rsidR="003A4278" w:rsidRDefault="003A4278" w:rsidP="003A4278">
      <w:pPr>
        <w:pStyle w:val="ListParagraph"/>
        <w:numPr>
          <w:ilvl w:val="0"/>
          <w:numId w:val="18"/>
        </w:numPr>
      </w:pPr>
      <w:r>
        <w:t>D + L</w:t>
      </w:r>
    </w:p>
    <w:p w14:paraId="46EF14B7" w14:textId="77777777" w:rsidR="003A4278" w:rsidRDefault="003A4278" w:rsidP="003A4278">
      <w:pPr>
        <w:pStyle w:val="ListParagraph"/>
        <w:numPr>
          <w:ilvl w:val="0"/>
          <w:numId w:val="18"/>
        </w:numPr>
      </w:pPr>
      <w:r>
        <w:t>D + 0.7 E</w:t>
      </w:r>
      <w:r w:rsidRPr="00DC692E">
        <w:rPr>
          <w:vertAlign w:val="subscript"/>
        </w:rPr>
        <w:t>v</w:t>
      </w:r>
      <w:r>
        <w:t xml:space="preserve"> + 0.7 E</w:t>
      </w:r>
      <w:r w:rsidRPr="00DC692E">
        <w:rPr>
          <w:vertAlign w:val="subscript"/>
        </w:rPr>
        <w:t>h</w:t>
      </w:r>
    </w:p>
    <w:p w14:paraId="5CFA999A" w14:textId="77777777" w:rsidR="003A4278" w:rsidRDefault="003A4278" w:rsidP="003A4278">
      <w:pPr>
        <w:pStyle w:val="ListParagraph"/>
        <w:numPr>
          <w:ilvl w:val="0"/>
          <w:numId w:val="18"/>
        </w:numPr>
      </w:pPr>
      <w:r>
        <w:t>D + 0.525 E</w:t>
      </w:r>
      <w:r w:rsidRPr="00DC692E">
        <w:rPr>
          <w:vertAlign w:val="subscript"/>
        </w:rPr>
        <w:t>v</w:t>
      </w:r>
      <w:r>
        <w:t xml:space="preserve"> + 0.525 E</w:t>
      </w:r>
      <w:r w:rsidRPr="00DC692E">
        <w:rPr>
          <w:vertAlign w:val="subscript"/>
        </w:rPr>
        <w:t>h</w:t>
      </w:r>
      <w:r>
        <w:t xml:space="preserve"> + 0.75 L</w:t>
      </w:r>
    </w:p>
    <w:p w14:paraId="14E3A315" w14:textId="77777777" w:rsidR="003A4278" w:rsidRDefault="003A4278" w:rsidP="003A4278">
      <w:pPr>
        <w:pStyle w:val="ListParagraph"/>
        <w:numPr>
          <w:ilvl w:val="0"/>
          <w:numId w:val="18"/>
        </w:numPr>
      </w:pPr>
      <w:r>
        <w:t>0.6 D – 0.7 E</w:t>
      </w:r>
      <w:r w:rsidRPr="00DC692E">
        <w:rPr>
          <w:vertAlign w:val="subscript"/>
        </w:rPr>
        <w:t>v</w:t>
      </w:r>
      <w:r>
        <w:t xml:space="preserve"> + 0.7 E</w:t>
      </w:r>
      <w:r w:rsidRPr="00DC692E">
        <w:rPr>
          <w:vertAlign w:val="subscript"/>
        </w:rPr>
        <w:t>mh</w:t>
      </w:r>
    </w:p>
    <w:p w14:paraId="7BF412F3" w14:textId="4EC85AF5" w:rsidR="003A4278" w:rsidRDefault="009C36B7" w:rsidP="003A4278">
      <w:r>
        <w:t>w</w:t>
      </w:r>
      <w:r w:rsidR="003A4278">
        <w:t>here:</w:t>
      </w:r>
    </w:p>
    <w:p w14:paraId="5D87E891" w14:textId="1C832810" w:rsidR="003A4278" w:rsidRDefault="003A4278" w:rsidP="003A4278">
      <w:pPr>
        <w:ind w:left="720"/>
      </w:pPr>
      <w:r>
        <w:t>D = dead load</w:t>
      </w:r>
      <w:r w:rsidR="00F71D33">
        <w:rPr>
          <w:rStyle w:val="FootnoteReference"/>
        </w:rPr>
        <w:footnoteReference w:id="3"/>
      </w:r>
    </w:p>
    <w:p w14:paraId="41F1D8EB" w14:textId="3D8E1AE3" w:rsidR="003A4278" w:rsidRDefault="003A4278" w:rsidP="003A4278">
      <w:pPr>
        <w:ind w:left="720"/>
      </w:pPr>
      <w:r>
        <w:t>L = Live Load</w:t>
      </w:r>
      <w:r w:rsidR="00DD2BCA">
        <w:rPr>
          <w:rStyle w:val="FootnoteReference"/>
        </w:rPr>
        <w:footnoteReference w:id="4"/>
      </w:r>
      <w:r>
        <w:t xml:space="preserve"> (for the FCT this is the vacuum/atmospheric pressure load and the bake-</w:t>
      </w:r>
      <w:r w:rsidR="00DD2BCA">
        <w:t>out thermal expansion induced lo</w:t>
      </w:r>
      <w:r>
        <w:t>ad)</w:t>
      </w:r>
      <w:r w:rsidR="00EF53F2">
        <w:t xml:space="preserve">. Since the expansion joint force generated as a result of </w:t>
      </w:r>
      <w:r w:rsidR="00EF53F2">
        <w:lastRenderedPageBreak/>
        <w:t>thermal exp</w:t>
      </w:r>
      <w:r w:rsidR="00E221A1">
        <w:t>ansion during a bake-out opposes</w:t>
      </w:r>
      <w:r w:rsidR="00EF53F2">
        <w:t xml:space="preserve"> the atmospheric pressure load it can be ignored</w:t>
      </w:r>
      <w:r w:rsidR="00F71D33">
        <w:t xml:space="preserve"> in the determination of anchor loads</w:t>
      </w:r>
      <w:r w:rsidR="00EF53F2">
        <w:t>. L = L</w:t>
      </w:r>
      <w:r w:rsidR="00EF53F2" w:rsidRPr="00EF53F2">
        <w:rPr>
          <w:vertAlign w:val="subscript"/>
        </w:rPr>
        <w:t>vac</w:t>
      </w:r>
      <w:r w:rsidR="00EF53F2">
        <w:t>.</w:t>
      </w:r>
    </w:p>
    <w:p w14:paraId="761B8BD4" w14:textId="77777777" w:rsidR="003A4278" w:rsidRDefault="003A4278" w:rsidP="003A4278">
      <w:pPr>
        <w:ind w:left="720"/>
      </w:pPr>
      <w:r>
        <w:t>E</w:t>
      </w:r>
      <w:r w:rsidRPr="00DC692E">
        <w:rPr>
          <w:vertAlign w:val="subscript"/>
        </w:rPr>
        <w:t>v</w:t>
      </w:r>
      <w:r>
        <w:t xml:space="preserve"> = vertical seismic load</w:t>
      </w:r>
    </w:p>
    <w:p w14:paraId="19D049C4" w14:textId="77777777" w:rsidR="003A4278" w:rsidRDefault="003A4278" w:rsidP="003A4278">
      <w:pPr>
        <w:ind w:left="720"/>
      </w:pPr>
      <w:r>
        <w:t>E</w:t>
      </w:r>
      <w:r w:rsidRPr="00DC692E">
        <w:rPr>
          <w:vertAlign w:val="subscript"/>
        </w:rPr>
        <w:t>h</w:t>
      </w:r>
      <w:r>
        <w:t xml:space="preserve"> = horizontal seismic load</w:t>
      </w:r>
    </w:p>
    <w:p w14:paraId="66AAA085" w14:textId="77777777" w:rsidR="003A4278" w:rsidRDefault="003A4278" w:rsidP="003A4278">
      <w:pPr>
        <w:ind w:left="720"/>
      </w:pPr>
      <w:r>
        <w:t>E</w:t>
      </w:r>
      <w:r w:rsidRPr="00DC692E">
        <w:rPr>
          <w:vertAlign w:val="subscript"/>
        </w:rPr>
        <w:t>mh</w:t>
      </w:r>
      <w:r>
        <w:t xml:space="preserve"> = horizontal seismic load with overstrength</w:t>
      </w:r>
    </w:p>
    <w:p w14:paraId="3ADCF09F" w14:textId="657BF520" w:rsidR="003A4278" w:rsidRDefault="003A4278" w:rsidP="003A4278">
      <w:r>
        <w:t>The general form for ASD is:</w:t>
      </w:r>
    </w:p>
    <w:p w14:paraId="4907E997" w14:textId="77777777" w:rsidR="003A4278" w:rsidRDefault="00BC6E36" w:rsidP="003A4278">
      <m:oMathPara>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n</m:t>
                  </m:r>
                </m:sub>
              </m:sSub>
            </m:num>
            <m:den>
              <m:r>
                <w:rPr>
                  <w:rFonts w:ascii="Cambria Math" w:hAnsi="Cambria Math"/>
                </w:rPr>
                <m:t>FS</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sSub>
                    <m:sSubPr>
                      <m:ctrlPr>
                        <w:rPr>
                          <w:rFonts w:ascii="Cambria Math" w:hAnsi="Cambria Math"/>
                          <w:i/>
                        </w:rPr>
                      </m:ctrlPr>
                    </m:sSubPr>
                    <m:e>
                      <m:r>
                        <w:rPr>
                          <w:rFonts w:ascii="Cambria Math" w:hAnsi="Cambria Math"/>
                        </w:rPr>
                        <m:t>γ</m:t>
                      </m:r>
                    </m:e>
                    <m:sub>
                      <m:r>
                        <w:rPr>
                          <w:rFonts w:ascii="Cambria Math" w:hAnsi="Cambria Math"/>
                        </w:rPr>
                        <m:t>ti</m:t>
                      </m:r>
                    </m:sub>
                  </m:sSub>
                  <m:r>
                    <w:rPr>
                      <w:rFonts w:ascii="Cambria Math" w:hAnsi="Cambria Math"/>
                    </w:rPr>
                    <m:t>Q</m:t>
                  </m:r>
                </m:e>
                <m:sub>
                  <m:r>
                    <w:rPr>
                      <w:rFonts w:ascii="Cambria Math" w:hAnsi="Cambria Math"/>
                    </w:rPr>
                    <m:t>ti</m:t>
                  </m:r>
                </m:sub>
              </m:sSub>
            </m:e>
          </m:nary>
        </m:oMath>
      </m:oMathPara>
    </w:p>
    <w:p w14:paraId="4F9919ED" w14:textId="77777777" w:rsidR="003A4278" w:rsidRDefault="003A4278" w:rsidP="003A4278">
      <w:r>
        <w:t>where</w:t>
      </w:r>
    </w:p>
    <w:p w14:paraId="3F846B4B" w14:textId="77777777" w:rsidR="003A4278" w:rsidRDefault="003A4278" w:rsidP="003A4278">
      <w:pPr>
        <w:ind w:left="720"/>
      </w:pPr>
      <w:r>
        <w:t>R</w:t>
      </w:r>
      <w:r w:rsidRPr="00A350CD">
        <w:rPr>
          <w:vertAlign w:val="subscript"/>
        </w:rPr>
        <w:t>n</w:t>
      </w:r>
      <w:r>
        <w:t xml:space="preserve"> = nominal resistance</w:t>
      </w:r>
    </w:p>
    <w:p w14:paraId="5615000D" w14:textId="77777777" w:rsidR="003A4278" w:rsidRDefault="003A4278" w:rsidP="003A4278">
      <w:pPr>
        <w:ind w:left="720"/>
      </w:pPr>
      <w:r>
        <w:t>Q</w:t>
      </w:r>
      <w:r w:rsidRPr="00A350CD">
        <w:rPr>
          <w:vertAlign w:val="subscript"/>
        </w:rPr>
        <w:t>d</w:t>
      </w:r>
      <w:r>
        <w:t xml:space="preserve"> = nominal dead load effect</w:t>
      </w:r>
    </w:p>
    <w:p w14:paraId="7EAFCA76" w14:textId="77777777" w:rsidR="003A4278" w:rsidRDefault="003A4278" w:rsidP="003A4278">
      <w:pPr>
        <w:ind w:left="720"/>
      </w:pPr>
      <w:r>
        <w:t>Q</w:t>
      </w:r>
      <w:r w:rsidRPr="00A350CD">
        <w:rPr>
          <w:vertAlign w:val="subscript"/>
        </w:rPr>
        <w:t>ti</w:t>
      </w:r>
      <w:r>
        <w:t xml:space="preserve"> = nominal effect due to the i</w:t>
      </w:r>
      <w:r w:rsidRPr="00A350CD">
        <w:rPr>
          <w:vertAlign w:val="superscript"/>
        </w:rPr>
        <w:t>th</w:t>
      </w:r>
      <w:r>
        <w:t xml:space="preserve"> transient load effect</w:t>
      </w:r>
    </w:p>
    <w:p w14:paraId="38F7059B" w14:textId="77777777" w:rsidR="003A4278" w:rsidRDefault="003A4278" w:rsidP="003A4278">
      <w:pPr>
        <w:ind w:left="720"/>
      </w:pPr>
      <w:r>
        <w:t>γ</w:t>
      </w:r>
      <w:r w:rsidRPr="00A350CD">
        <w:rPr>
          <w:vertAlign w:val="subscript"/>
        </w:rPr>
        <w:t>ti</w:t>
      </w:r>
      <w:r>
        <w:t xml:space="preserve"> = load combination factor for the i</w:t>
      </w:r>
      <w:r w:rsidRPr="00A350CD">
        <w:rPr>
          <w:vertAlign w:val="superscript"/>
        </w:rPr>
        <w:t>th</w:t>
      </w:r>
      <w:r>
        <w:t xml:space="preserve"> transient load effect</w:t>
      </w:r>
    </w:p>
    <w:p w14:paraId="779EE525" w14:textId="77777777" w:rsidR="003A4278" w:rsidRDefault="003A4278" w:rsidP="003A4278">
      <w:pPr>
        <w:ind w:left="720"/>
      </w:pPr>
      <w:r>
        <w:t>FS = Factor of Safety</w:t>
      </w:r>
    </w:p>
    <w:p w14:paraId="25C9B47A" w14:textId="77777777" w:rsidR="003A4278" w:rsidRDefault="003A4278" w:rsidP="003A4278">
      <w:r>
        <w:t>The general form for LRFD is:</w:t>
      </w:r>
    </w:p>
    <w:p w14:paraId="461D85DC" w14:textId="77777777" w:rsidR="003A4278" w:rsidRDefault="003A4278" w:rsidP="003A4278">
      <m:oMathPara>
        <m:oMath>
          <m:r>
            <w:rPr>
              <w:rFonts w:ascii="Cambria Math" w:hAnsi="Cambria Math"/>
            </w:rPr>
            <m:t>φ</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γ</m:t>
                  </m:r>
                </m:e>
                <m:sub>
                  <m:r>
                    <w:rPr>
                      <w:rFonts w:ascii="Cambria Math" w:hAnsi="Cambria Math"/>
                    </w:rPr>
                    <m:t>ti</m:t>
                  </m:r>
                </m:sub>
              </m:sSub>
              <m:sSub>
                <m:sSubPr>
                  <m:ctrlPr>
                    <w:rPr>
                      <w:rFonts w:ascii="Cambria Math" w:hAnsi="Cambria Math"/>
                      <w:i/>
                    </w:rPr>
                  </m:ctrlPr>
                </m:sSubPr>
                <m:e>
                  <m:r>
                    <w:rPr>
                      <w:rFonts w:ascii="Cambria Math" w:hAnsi="Cambria Math"/>
                    </w:rPr>
                    <m:t>Q</m:t>
                  </m:r>
                </m:e>
                <m:sub>
                  <m:r>
                    <w:rPr>
                      <w:rFonts w:ascii="Cambria Math" w:hAnsi="Cambria Math"/>
                    </w:rPr>
                    <m:t>ti</m:t>
                  </m:r>
                </m:sub>
              </m:sSub>
            </m:e>
          </m:nary>
        </m:oMath>
      </m:oMathPara>
    </w:p>
    <w:p w14:paraId="75A52515" w14:textId="77777777" w:rsidR="003A4278" w:rsidRDefault="003A4278" w:rsidP="003A4278">
      <w:r>
        <w:t>where</w:t>
      </w:r>
    </w:p>
    <w:p w14:paraId="5B8C8080" w14:textId="77777777" w:rsidR="003A4278" w:rsidRDefault="003A4278" w:rsidP="003A4278">
      <w:pPr>
        <w:ind w:left="720"/>
      </w:pPr>
      <w:r>
        <w:t>φ = resistance factor</w:t>
      </w:r>
    </w:p>
    <w:p w14:paraId="382AA1AA" w14:textId="77777777" w:rsidR="003A4278" w:rsidRDefault="003A4278" w:rsidP="003A4278">
      <w:r>
        <w:t>ASCE 7-16, section C2.1 (pg. 417) explains that “An indiscriminate mix of the LRFD and ASD methods may lead to unpredictable structural system performance because the reliability analyses and code calibrations leading to the LRFD load combinations were based on member rather than system limit states.” In the case of the FCT Support Structures, the Strength Design (SD) of the concrete embedded anchors, presented in Hilti’s simplified design tables, is based on ACI 318 and LRFD methodology</w:t>
      </w:r>
      <w:r>
        <w:rPr>
          <w:rStyle w:val="FootnoteReference"/>
        </w:rPr>
        <w:footnoteReference w:id="5"/>
      </w:r>
      <w:r>
        <w:t>. The SD values in Hilti’s simplified design tables can be converted to ASD values as follows</w:t>
      </w:r>
      <w:r>
        <w:rPr>
          <w:rStyle w:val="FootnoteReference"/>
        </w:rPr>
        <w:footnoteReference w:id="6"/>
      </w:r>
      <w:r>
        <w:t>:</w:t>
      </w:r>
    </w:p>
    <w:p w14:paraId="5688D790" w14:textId="77777777" w:rsidR="003A4278" w:rsidRDefault="00BC6E36" w:rsidP="003A4278">
      <m:oMathPara>
        <m:oMath>
          <m:sSub>
            <m:sSubPr>
              <m:ctrlPr>
                <w:rPr>
                  <w:rFonts w:ascii="Cambria Math" w:hAnsi="Cambria Math"/>
                  <w:i/>
                </w:rPr>
              </m:ctrlPr>
            </m:sSubPr>
            <m:e>
              <m:r>
                <w:rPr>
                  <w:rFonts w:ascii="Cambria Math" w:hAnsi="Cambria Math"/>
                </w:rPr>
                <m:t>N</m:t>
              </m:r>
            </m:e>
            <m:sub>
              <m:r>
                <w:rPr>
                  <w:rFonts w:ascii="Cambria Math" w:hAnsi="Cambria Math"/>
                </w:rPr>
                <m:t>des</m:t>
              </m:r>
            </m:sub>
          </m:sSub>
          <m:r>
            <w:rPr>
              <w:rFonts w:ascii="Cambria Math" w:hAnsi="Cambria Math"/>
            </w:rPr>
            <m:t xml:space="preserve">=n </m:t>
          </m:r>
          <m:r>
            <m:rPr>
              <m:sty m:val="p"/>
            </m:rPr>
            <w:rPr>
              <w:rFonts w:ascii="Cambria Math" w:hAnsi="Cambria Math"/>
            </w:rPr>
            <m:t>min⁡</m:t>
          </m:r>
          <m:r>
            <w:rPr>
              <w:rFonts w:ascii="Cambria Math" w:hAnsi="Cambria Math"/>
            </w:rPr>
            <m:t>|φ</m:t>
          </m:r>
          <m:sSub>
            <m:sSubPr>
              <m:ctrlPr>
                <w:rPr>
                  <w:rFonts w:ascii="Cambria Math" w:hAnsi="Cambria Math"/>
                  <w:i/>
                </w:rPr>
              </m:ctrlPr>
            </m:sSubPr>
            <m:e>
              <m:r>
                <w:rPr>
                  <w:rFonts w:ascii="Cambria Math" w:hAnsi="Cambria Math"/>
                </w:rPr>
                <m:t>N</m:t>
              </m:r>
            </m:e>
            <m:sub>
              <m:r>
                <w:rPr>
                  <w:rFonts w:ascii="Cambria Math" w:hAnsi="Cambria Math"/>
                </w:rPr>
                <m:t xml:space="preserve">n </m:t>
              </m:r>
            </m:sub>
          </m:sSub>
          <m:sSub>
            <m:sSubPr>
              <m:ctrlPr>
                <w:rPr>
                  <w:rFonts w:ascii="Cambria Math" w:hAnsi="Cambria Math"/>
                  <w:i/>
                </w:rPr>
              </m:ctrlPr>
            </m:sSubPr>
            <m:e>
              <m:r>
                <w:rPr>
                  <w:rFonts w:ascii="Cambria Math" w:hAnsi="Cambria Math"/>
                </w:rPr>
                <m:t>f</m:t>
              </m:r>
            </m:e>
            <m:sub>
              <m:r>
                <w:rPr>
                  <w:rFonts w:ascii="Cambria Math" w:hAnsi="Cambria Math"/>
                </w:rPr>
                <m:t>AN</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RN</m:t>
              </m:r>
            </m:sub>
          </m:sSub>
          <m:r>
            <w:rPr>
              <w:rFonts w:ascii="Cambria Math" w:hAnsi="Cambria Math"/>
            </w:rPr>
            <m:t>; φ</m:t>
          </m:r>
          <m:sSub>
            <m:sSubPr>
              <m:ctrlPr>
                <w:rPr>
                  <w:rFonts w:ascii="Cambria Math" w:hAnsi="Cambria Math"/>
                  <w:i/>
                </w:rPr>
              </m:ctrlPr>
            </m:sSubPr>
            <m:e>
              <m:r>
                <w:rPr>
                  <w:rFonts w:ascii="Cambria Math" w:hAnsi="Cambria Math"/>
                </w:rPr>
                <m:t>N</m:t>
              </m:r>
            </m:e>
            <m:sub>
              <m:r>
                <w:rPr>
                  <w:rFonts w:ascii="Cambria Math" w:hAnsi="Cambria Math"/>
                </w:rPr>
                <m:t>sa</m:t>
              </m:r>
            </m:sub>
          </m:sSub>
          <m:r>
            <w:rPr>
              <w:rFonts w:ascii="Cambria Math" w:hAnsi="Cambria Math"/>
            </w:rPr>
            <m:t>|</m:t>
          </m:r>
        </m:oMath>
      </m:oMathPara>
    </w:p>
    <w:p w14:paraId="5AC2A33A" w14:textId="77777777" w:rsidR="003A4278" w:rsidRDefault="00BC6E36" w:rsidP="003A4278">
      <m:oMathPara>
        <m:oMath>
          <m:sSub>
            <m:sSubPr>
              <m:ctrlPr>
                <w:rPr>
                  <w:rFonts w:ascii="Cambria Math" w:hAnsi="Cambria Math"/>
                  <w:i/>
                </w:rPr>
              </m:ctrlPr>
            </m:sSubPr>
            <m:e>
              <m:r>
                <w:rPr>
                  <w:rFonts w:ascii="Cambria Math" w:hAnsi="Cambria Math"/>
                </w:rPr>
                <m:t>V</m:t>
              </m:r>
            </m:e>
            <m:sub>
              <m:r>
                <w:rPr>
                  <w:rFonts w:ascii="Cambria Math" w:hAnsi="Cambria Math"/>
                </w:rPr>
                <m:t>des</m:t>
              </m:r>
            </m:sub>
          </m:sSub>
          <m:r>
            <w:rPr>
              <w:rFonts w:ascii="Cambria Math" w:hAnsi="Cambria Math"/>
            </w:rPr>
            <m:t xml:space="preserve">=n </m:t>
          </m:r>
          <m:r>
            <m:rPr>
              <m:sty m:val="p"/>
            </m:rPr>
            <w:rPr>
              <w:rFonts w:ascii="Cambria Math" w:hAnsi="Cambria Math"/>
            </w:rPr>
            <m:t>min⁡</m:t>
          </m:r>
          <m:r>
            <w:rPr>
              <w:rFonts w:ascii="Cambria Math" w:hAnsi="Cambria Math"/>
            </w:rPr>
            <m:t>|φ</m:t>
          </m:r>
          <m:sSub>
            <m:sSubPr>
              <m:ctrlPr>
                <w:rPr>
                  <w:rFonts w:ascii="Cambria Math" w:hAnsi="Cambria Math"/>
                  <w:i/>
                </w:rPr>
              </m:ctrlPr>
            </m:sSubPr>
            <m:e>
              <m:r>
                <w:rPr>
                  <w:rFonts w:ascii="Cambria Math" w:hAnsi="Cambria Math"/>
                </w:rPr>
                <m:t>V</m:t>
              </m:r>
            </m:e>
            <m:sub>
              <m:r>
                <w:rPr>
                  <w:rFonts w:ascii="Cambria Math" w:hAnsi="Cambria Math"/>
                </w:rPr>
                <m:t xml:space="preserve">n </m:t>
              </m:r>
            </m:sub>
          </m:sSub>
          <m:sSub>
            <m:sSubPr>
              <m:ctrlPr>
                <w:rPr>
                  <w:rFonts w:ascii="Cambria Math" w:hAnsi="Cambria Math"/>
                  <w:i/>
                </w:rPr>
              </m:ctrlPr>
            </m:sSubPr>
            <m:e>
              <m:r>
                <w:rPr>
                  <w:rFonts w:ascii="Cambria Math" w:hAnsi="Cambria Math"/>
                </w:rPr>
                <m:t>f</m:t>
              </m:r>
            </m:e>
            <m:sub>
              <m:r>
                <w:rPr>
                  <w:rFonts w:ascii="Cambria Math" w:hAnsi="Cambria Math"/>
                </w:rPr>
                <m:t>AV</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RV</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HV</m:t>
              </m:r>
            </m:sub>
          </m:sSub>
          <m:r>
            <w:rPr>
              <w:rFonts w:ascii="Cambria Math" w:hAnsi="Cambria Math"/>
            </w:rPr>
            <m:t>; φ</m:t>
          </m:r>
          <m:sSub>
            <m:sSubPr>
              <m:ctrlPr>
                <w:rPr>
                  <w:rFonts w:ascii="Cambria Math" w:hAnsi="Cambria Math"/>
                  <w:i/>
                </w:rPr>
              </m:ctrlPr>
            </m:sSubPr>
            <m:e>
              <m:r>
                <w:rPr>
                  <w:rFonts w:ascii="Cambria Math" w:hAnsi="Cambria Math"/>
                </w:rPr>
                <m:t>V</m:t>
              </m:r>
            </m:e>
            <m:sub>
              <m:r>
                <w:rPr>
                  <w:rFonts w:ascii="Cambria Math" w:hAnsi="Cambria Math"/>
                </w:rPr>
                <m:t>sa</m:t>
              </m:r>
            </m:sub>
          </m:sSub>
          <m:r>
            <w:rPr>
              <w:rFonts w:ascii="Cambria Math" w:hAnsi="Cambria Math"/>
            </w:rPr>
            <m:t>|</m:t>
          </m:r>
        </m:oMath>
      </m:oMathPara>
    </w:p>
    <w:p w14:paraId="77FCC1D5" w14:textId="77777777" w:rsidR="003A4278" w:rsidRDefault="00BC6E36" w:rsidP="003A4278">
      <m:oMathPara>
        <m:oMath>
          <m:sSub>
            <m:sSubPr>
              <m:ctrlPr>
                <w:rPr>
                  <w:rFonts w:ascii="Cambria Math" w:hAnsi="Cambria Math"/>
                  <w:i/>
                </w:rPr>
              </m:ctrlPr>
            </m:sSubPr>
            <m:e>
              <m:r>
                <w:rPr>
                  <w:rFonts w:ascii="Cambria Math" w:hAnsi="Cambria Math"/>
                </w:rPr>
                <m:t>N</m:t>
              </m:r>
            </m:e>
            <m:sub>
              <m:r>
                <w:rPr>
                  <w:rFonts w:ascii="Cambria Math" w:hAnsi="Cambria Math"/>
                </w:rPr>
                <m:t>des,ASD</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des</m:t>
                  </m:r>
                </m:sub>
              </m:sSub>
            </m:num>
            <m:den>
              <m:sSub>
                <m:sSubPr>
                  <m:ctrlPr>
                    <w:rPr>
                      <w:rFonts w:ascii="Cambria Math" w:hAnsi="Cambria Math"/>
                      <w:i/>
                    </w:rPr>
                  </m:ctrlPr>
                </m:sSubPr>
                <m:e>
                  <m:r>
                    <w:rPr>
                      <w:rFonts w:ascii="Cambria Math" w:hAnsi="Cambria Math"/>
                    </w:rPr>
                    <m:t>α</m:t>
                  </m:r>
                </m:e>
                <m:sub>
                  <m:r>
                    <w:rPr>
                      <w:rFonts w:ascii="Cambria Math" w:hAnsi="Cambria Math"/>
                    </w:rPr>
                    <m:t>ASD</m:t>
                  </m:r>
                </m:sub>
              </m:sSub>
            </m:den>
          </m:f>
        </m:oMath>
      </m:oMathPara>
    </w:p>
    <w:p w14:paraId="36A4F972" w14:textId="77777777" w:rsidR="003A4278" w:rsidRPr="004D1008" w:rsidRDefault="00BC6E36" w:rsidP="003A4278">
      <m:oMathPara>
        <m:oMath>
          <m:sSub>
            <m:sSubPr>
              <m:ctrlPr>
                <w:rPr>
                  <w:rFonts w:ascii="Cambria Math" w:hAnsi="Cambria Math"/>
                  <w:i/>
                </w:rPr>
              </m:ctrlPr>
            </m:sSubPr>
            <m:e>
              <m:r>
                <w:rPr>
                  <w:rFonts w:ascii="Cambria Math" w:hAnsi="Cambria Math"/>
                </w:rPr>
                <m:t>V</m:t>
              </m:r>
            </m:e>
            <m:sub>
              <m:r>
                <w:rPr>
                  <w:rFonts w:ascii="Cambria Math" w:hAnsi="Cambria Math"/>
                </w:rPr>
                <m:t>des,ASD</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des</m:t>
                  </m:r>
                </m:sub>
              </m:sSub>
            </m:num>
            <m:den>
              <m:sSub>
                <m:sSubPr>
                  <m:ctrlPr>
                    <w:rPr>
                      <w:rFonts w:ascii="Cambria Math" w:hAnsi="Cambria Math"/>
                      <w:i/>
                    </w:rPr>
                  </m:ctrlPr>
                </m:sSubPr>
                <m:e>
                  <m:r>
                    <w:rPr>
                      <w:rFonts w:ascii="Cambria Math" w:hAnsi="Cambria Math"/>
                    </w:rPr>
                    <m:t>α</m:t>
                  </m:r>
                </m:e>
                <m:sub>
                  <m:r>
                    <w:rPr>
                      <w:rFonts w:ascii="Cambria Math" w:hAnsi="Cambria Math"/>
                    </w:rPr>
                    <m:t>ASD</m:t>
                  </m:r>
                </m:sub>
              </m:sSub>
            </m:den>
          </m:f>
        </m:oMath>
      </m:oMathPara>
    </w:p>
    <w:p w14:paraId="720267FF" w14:textId="77777777" w:rsidR="003A4278" w:rsidRDefault="003A4278" w:rsidP="003A4278">
      <w:r>
        <w:lastRenderedPageBreak/>
        <w:t>where α = conversion factor calculated as a weighted average of the load factors for the controlling load combination. For example if the 2</w:t>
      </w:r>
      <w:r w:rsidRPr="004D1008">
        <w:rPr>
          <w:vertAlign w:val="superscript"/>
        </w:rPr>
        <w:t>nd</w:t>
      </w:r>
      <w:r>
        <w:t xml:space="preserve"> load combination listed above was the controlling load combination, then: </w:t>
      </w:r>
    </w:p>
    <w:p w14:paraId="615C9CD1" w14:textId="77777777" w:rsidR="003A4278" w:rsidRDefault="00BC6E36" w:rsidP="003A4278">
      <m:oMathPara>
        <m:oMath>
          <m:sSub>
            <m:sSubPr>
              <m:ctrlPr>
                <w:rPr>
                  <w:rFonts w:ascii="Cambria Math" w:hAnsi="Cambria Math"/>
                  <w:i/>
                </w:rPr>
              </m:ctrlPr>
            </m:sSubPr>
            <m:e>
              <m:r>
                <w:rPr>
                  <w:rFonts w:ascii="Cambria Math" w:hAnsi="Cambria Math"/>
                </w:rPr>
                <m:t>α</m:t>
              </m:r>
            </m:e>
            <m:sub>
              <m:r>
                <w:rPr>
                  <w:rFonts w:ascii="Cambria Math" w:hAnsi="Cambria Math"/>
                </w:rPr>
                <m:t>ASD</m:t>
              </m:r>
            </m:sub>
          </m:sSub>
          <m:r>
            <w:rPr>
              <w:rFonts w:ascii="Cambria Math" w:hAnsi="Cambria Math"/>
            </w:rPr>
            <m:t>=</m:t>
          </m:r>
          <m:f>
            <m:fPr>
              <m:ctrlPr>
                <w:rPr>
                  <w:rFonts w:ascii="Cambria Math" w:hAnsi="Cambria Math"/>
                  <w:i/>
                </w:rPr>
              </m:ctrlPr>
            </m:fPr>
            <m:num>
              <m:r>
                <w:rPr>
                  <w:rFonts w:ascii="Cambria Math" w:hAnsi="Cambria Math"/>
                </w:rPr>
                <m:t>1.2 D+1.6 L</m:t>
              </m:r>
            </m:num>
            <m:den>
              <m:r>
                <w:rPr>
                  <w:rFonts w:ascii="Cambria Math" w:hAnsi="Cambria Math"/>
                </w:rPr>
                <m:t>D+L</m:t>
              </m:r>
            </m:den>
          </m:f>
        </m:oMath>
      </m:oMathPara>
    </w:p>
    <w:p w14:paraId="38F8EF71" w14:textId="68BD8790" w:rsidR="003A4278" w:rsidRDefault="00556EA2" w:rsidP="003A4278">
      <w:r>
        <w:t xml:space="preserve">In essence </w:t>
      </w:r>
      <m:oMath>
        <m:sSub>
          <m:sSubPr>
            <m:ctrlPr>
              <w:rPr>
                <w:rFonts w:ascii="Cambria Math" w:hAnsi="Cambria Math"/>
                <w:i/>
              </w:rPr>
            </m:ctrlPr>
          </m:sSubPr>
          <m:e>
            <m:r>
              <w:rPr>
                <w:rFonts w:ascii="Cambria Math" w:hAnsi="Cambria Math"/>
              </w:rPr>
              <m:t>α</m:t>
            </m:r>
          </m:e>
          <m:sub>
            <m:r>
              <w:rPr>
                <w:rFonts w:ascii="Cambria Math" w:hAnsi="Cambria Math"/>
              </w:rPr>
              <m:t>ASD</m:t>
            </m:r>
          </m:sub>
        </m:sSub>
      </m:oMath>
      <w:r>
        <w:t xml:space="preserve"> is the minimum re</w:t>
      </w:r>
      <w:r w:rsidR="008604BB">
        <w:t>quired Factor of Safety (FS) for each effect, for each load case. Calculation of this conversion factor is not easy for multi-axial loading situations.</w:t>
      </w:r>
      <w:r>
        <w:t xml:space="preserve"> </w:t>
      </w:r>
      <w:r w:rsidR="009C36B7">
        <w:t>In order not to complicate the load case analysis with conversion to ASD, we will use LFRD.</w:t>
      </w:r>
    </w:p>
    <w:p w14:paraId="432C38A0" w14:textId="7D6C2046" w:rsidR="008C39E5" w:rsidRDefault="00556EA2" w:rsidP="008C39E5">
      <w:pPr>
        <w:pStyle w:val="Heading3"/>
      </w:pPr>
      <w:bookmarkStart w:id="19" w:name="_Toc50585519"/>
      <w:r>
        <w:t>LRF</w:t>
      </w:r>
      <w:r w:rsidR="008C39E5">
        <w:t>D load cases</w:t>
      </w:r>
      <w:bookmarkEnd w:id="19"/>
    </w:p>
    <w:p w14:paraId="1285290B" w14:textId="77777777" w:rsidR="008C39E5" w:rsidRDefault="008C39E5" w:rsidP="008C39E5">
      <w:r>
        <w:t>ASCE 7-16, section 12.4.2.1 defines the effect of horizontal seismic forces as:</w:t>
      </w:r>
    </w:p>
    <w:p w14:paraId="19845973" w14:textId="77777777" w:rsidR="008C39E5" w:rsidRDefault="00BC6E36" w:rsidP="008C39E5">
      <m:oMathPara>
        <m:oMath>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=ρ</m:t>
          </m:r>
          <m:sSub>
            <m:sSubPr>
              <m:ctrlPr>
                <w:rPr>
                  <w:rFonts w:ascii="Cambria Math" w:hAnsi="Cambria Math"/>
                  <w:i/>
                </w:rPr>
              </m:ctrlPr>
            </m:sSubPr>
            <m:e>
              <m:r>
                <w:rPr>
                  <w:rFonts w:ascii="Cambria Math" w:hAnsi="Cambria Math"/>
                </w:rPr>
                <m:t>Q</m:t>
              </m:r>
            </m:e>
            <m:sub>
              <m:r>
                <w:rPr>
                  <w:rFonts w:ascii="Cambria Math" w:hAnsi="Cambria Math"/>
                </w:rPr>
                <m:t>E</m:t>
              </m:r>
            </m:sub>
          </m:sSub>
        </m:oMath>
      </m:oMathPara>
    </w:p>
    <w:p w14:paraId="05684B13" w14:textId="77777777" w:rsidR="008C39E5" w:rsidRDefault="008C39E5" w:rsidP="008C39E5">
      <w:r>
        <w:t xml:space="preserve">where </w:t>
      </w:r>
    </w:p>
    <w:p w14:paraId="0D14D785" w14:textId="77777777" w:rsidR="008C39E5" w:rsidRDefault="008C39E5" w:rsidP="008C39E5">
      <w:pPr>
        <w:ind w:left="720"/>
      </w:pPr>
      <w:r>
        <w:t>Q</w:t>
      </w:r>
      <w:r w:rsidRPr="00D77873">
        <w:rPr>
          <w:vertAlign w:val="subscript"/>
        </w:rPr>
        <w:t>E</w:t>
      </w:r>
      <w:r>
        <w:t xml:space="preserve"> = effects of horizontal seismic forces from V</w:t>
      </w:r>
    </w:p>
    <w:p w14:paraId="739CC4F5" w14:textId="77777777" w:rsidR="008C39E5" w:rsidRDefault="008C39E5" w:rsidP="008C39E5">
      <w:pPr>
        <w:ind w:left="720"/>
      </w:pPr>
      <w:r>
        <w:t>ρ = redundancy factor</w:t>
      </w:r>
    </w:p>
    <w:p w14:paraId="603CDB52" w14:textId="77777777" w:rsidR="008C39E5" w:rsidRDefault="008C39E5" w:rsidP="008C39E5">
      <w:r>
        <w:t>ASCE 7-16, section 12.3.4.1 states that the redundancy factor, ρ = 1, for nonbuilding structures that are not similar to buildings.</w:t>
      </w:r>
    </w:p>
    <w:p w14:paraId="19B6BD6C" w14:textId="77777777" w:rsidR="008C39E5" w:rsidRDefault="008C39E5" w:rsidP="008C39E5">
      <w:r>
        <w:t>Although the FCT is classified as a Seismic Design Category D, since there are no intersecting columns or walls of two or more seismic force-resisting systems (section 12.5.4), and there are no horizontal irregularities of the type defined in section 12.5.3, the design seismic forces are permitted to be applied independently in each of two orthogonal directions. We define these two orthogonal directions as axial, E</w:t>
      </w:r>
      <w:r w:rsidRPr="00D75054">
        <w:rPr>
          <w:vertAlign w:val="subscript"/>
        </w:rPr>
        <w:t>hy</w:t>
      </w:r>
      <w:r>
        <w:t>, and lateral, E</w:t>
      </w:r>
      <w:r w:rsidRPr="00D75054">
        <w:rPr>
          <w:vertAlign w:val="subscript"/>
        </w:rPr>
        <w:t>hx</w:t>
      </w:r>
      <w:r>
        <w:t>.</w:t>
      </w:r>
    </w:p>
    <w:p w14:paraId="128D898A" w14:textId="77777777" w:rsidR="008C39E5" w:rsidRDefault="008C39E5" w:rsidP="008C39E5">
      <w:r>
        <w:t>ASCE 7-16, section 12.4.2.2 defines the effect of vertical seismic forces as:</w:t>
      </w:r>
    </w:p>
    <w:p w14:paraId="5AE23A8A" w14:textId="77777777" w:rsidR="008C39E5" w:rsidRDefault="00BC6E36" w:rsidP="008C39E5">
      <m:oMathPara>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 xml:space="preserve">=0.2 </m:t>
          </m:r>
          <m:sSub>
            <m:sSubPr>
              <m:ctrlPr>
                <w:rPr>
                  <w:rFonts w:ascii="Cambria Math" w:hAnsi="Cambria Math"/>
                  <w:i/>
                </w:rPr>
              </m:ctrlPr>
            </m:sSubPr>
            <m:e>
              <m:r>
                <w:rPr>
                  <w:rFonts w:ascii="Cambria Math" w:hAnsi="Cambria Math"/>
                </w:rPr>
                <m:t>S</m:t>
              </m:r>
            </m:e>
            <m:sub>
              <m:r>
                <w:rPr>
                  <w:rFonts w:ascii="Cambria Math" w:hAnsi="Cambria Math"/>
                </w:rPr>
                <m:t>DS</m:t>
              </m:r>
            </m:sub>
          </m:sSub>
          <m:r>
            <w:rPr>
              <w:rFonts w:ascii="Cambria Math" w:hAnsi="Cambria Math"/>
            </w:rPr>
            <m:t xml:space="preserve"> D=0.079 D</m:t>
          </m:r>
        </m:oMath>
      </m:oMathPara>
    </w:p>
    <w:p w14:paraId="33EC9DF2" w14:textId="77777777" w:rsidR="008C39E5" w:rsidRDefault="008C39E5" w:rsidP="008C39E5">
      <w:r>
        <w:t>The alternative option to incorporate the effects of vertical seismic ground motions using the provisions of section 11.9 is not taken.</w:t>
      </w:r>
    </w:p>
    <w:p w14:paraId="17741047" w14:textId="77777777" w:rsidR="008C39E5" w:rsidRDefault="008C39E5" w:rsidP="008C39E5">
      <w:r>
        <w:t>The h</w:t>
      </w:r>
      <w:r w:rsidRPr="00B269B3">
        <w:t xml:space="preserve">orizontal </w:t>
      </w:r>
      <w:r>
        <w:t>s</w:t>
      </w:r>
      <w:r w:rsidRPr="00B269B3">
        <w:t xml:space="preserve">eismic </w:t>
      </w:r>
      <w:r>
        <w:t>l</w:t>
      </w:r>
      <w:r w:rsidRPr="00B269B3">
        <w:t xml:space="preserve">oad </w:t>
      </w:r>
      <w:r>
        <w:t>e</w:t>
      </w:r>
      <w:r w:rsidRPr="00B269B3">
        <w:t xml:space="preserve">ffect </w:t>
      </w:r>
      <w:r>
        <w:t>i</w:t>
      </w:r>
      <w:r w:rsidRPr="00B269B3">
        <w:t xml:space="preserve">ncluding </w:t>
      </w:r>
      <w:r>
        <w:t>overstrength is defined (ASCE 7-16, section 12.4.3.1) as:</w:t>
      </w:r>
    </w:p>
    <w:p w14:paraId="5AA13295" w14:textId="77777777" w:rsidR="008C39E5" w:rsidRDefault="00BC6E36" w:rsidP="008C39E5">
      <m:oMathPara>
        <m:oMath>
          <m:sSub>
            <m:sSubPr>
              <m:ctrlPr>
                <w:rPr>
                  <w:rFonts w:ascii="Cambria Math" w:hAnsi="Cambria Math"/>
                  <w:i/>
                </w:rPr>
              </m:ctrlPr>
            </m:sSubPr>
            <m:e>
              <m:r>
                <w:rPr>
                  <w:rFonts w:ascii="Cambria Math" w:hAnsi="Cambria Math"/>
                </w:rPr>
                <m:t>E</m:t>
              </m:r>
            </m:e>
            <m:sub>
              <m:r>
                <w:rPr>
                  <w:rFonts w:ascii="Cambria Math" w:hAnsi="Cambria Math"/>
                </w:rPr>
                <m:t>mh</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E</m:t>
              </m:r>
            </m:sub>
          </m:sSub>
        </m:oMath>
      </m:oMathPara>
    </w:p>
    <w:p w14:paraId="751E6035" w14:textId="77777777" w:rsidR="008C39E5" w:rsidRDefault="008C39E5" w:rsidP="008C39E5">
      <w:r>
        <w:t>So,</w:t>
      </w:r>
    </w:p>
    <w:p w14:paraId="295DC88B" w14:textId="77777777" w:rsidR="008C39E5" w:rsidRDefault="00BC6E36" w:rsidP="008C39E5">
      <m:oMathPara>
        <m:oMath>
          <m:sSub>
            <m:sSubPr>
              <m:ctrlPr>
                <w:rPr>
                  <w:rFonts w:ascii="Cambria Math" w:hAnsi="Cambria Math"/>
                  <w:i/>
                </w:rPr>
              </m:ctrlPr>
            </m:sSubPr>
            <m:e>
              <m:r>
                <w:rPr>
                  <w:rFonts w:ascii="Cambria Math" w:hAnsi="Cambria Math"/>
                </w:rPr>
                <m:t>E</m:t>
              </m:r>
            </m:e>
            <m:sub>
              <m:r>
                <w:rPr>
                  <w:rFonts w:ascii="Cambria Math" w:hAnsi="Cambria Math"/>
                </w:rPr>
                <m:t>mhx</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Ex</m:t>
              </m:r>
            </m:sub>
          </m:sSub>
        </m:oMath>
      </m:oMathPara>
    </w:p>
    <w:p w14:paraId="0DE33692" w14:textId="77777777" w:rsidR="008C39E5" w:rsidRDefault="00BC6E36" w:rsidP="008C39E5">
      <m:oMathPara>
        <m:oMath>
          <m:sSub>
            <m:sSubPr>
              <m:ctrlPr>
                <w:rPr>
                  <w:rFonts w:ascii="Cambria Math" w:hAnsi="Cambria Math"/>
                  <w:i/>
                </w:rPr>
              </m:ctrlPr>
            </m:sSubPr>
            <m:e>
              <m:r>
                <w:rPr>
                  <w:rFonts w:ascii="Cambria Math" w:hAnsi="Cambria Math"/>
                </w:rPr>
                <m:t>E</m:t>
              </m:r>
            </m:e>
            <m:sub>
              <m:r>
                <w:rPr>
                  <w:rFonts w:ascii="Cambria Math" w:hAnsi="Cambria Math"/>
                </w:rPr>
                <m:t>mhy</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Ey</m:t>
              </m:r>
            </m:sub>
          </m:sSub>
        </m:oMath>
      </m:oMathPara>
    </w:p>
    <w:p w14:paraId="60B129BF" w14:textId="77777777" w:rsidR="008C39E5" w:rsidRDefault="008C39E5" w:rsidP="008C39E5">
      <w:r>
        <w:t>applied separately.</w:t>
      </w:r>
    </w:p>
    <w:p w14:paraId="079B72C3" w14:textId="77777777" w:rsidR="008C39E5" w:rsidRDefault="008C39E5" w:rsidP="008C39E5">
      <w:r>
        <w:t>The load cases to consider are then shown in the Table below.</w:t>
      </w:r>
    </w:p>
    <w:p w14:paraId="718E454E" w14:textId="7E412E17" w:rsidR="008C39E5" w:rsidRDefault="008C39E5" w:rsidP="00E221A1">
      <w:pPr>
        <w:pStyle w:val="Caption"/>
        <w:keepNext/>
      </w:pPr>
      <w:bookmarkStart w:id="20" w:name="_Ref50448081"/>
      <w:bookmarkStart w:id="21" w:name="_Ref50448092"/>
      <w:bookmarkStart w:id="22" w:name="_Toc50585535"/>
      <w:r>
        <w:lastRenderedPageBreak/>
        <w:t xml:space="preserve">Table </w:t>
      </w:r>
      <w:r w:rsidR="00EE65F7">
        <w:fldChar w:fldCharType="begin"/>
      </w:r>
      <w:r w:rsidR="00EE65F7">
        <w:instrText xml:space="preserve"> SEQ Table \* ARABIC </w:instrText>
      </w:r>
      <w:r w:rsidR="00EE65F7">
        <w:fldChar w:fldCharType="separate"/>
      </w:r>
      <w:r w:rsidR="00102C1B">
        <w:rPr>
          <w:noProof/>
        </w:rPr>
        <w:t>2</w:t>
      </w:r>
      <w:r w:rsidR="00EE65F7">
        <w:rPr>
          <w:noProof/>
        </w:rPr>
        <w:fldChar w:fldCharType="end"/>
      </w:r>
      <w:bookmarkEnd w:id="21"/>
      <w:r>
        <w:t xml:space="preserve">  Load Cases</w:t>
      </w:r>
      <w:bookmarkEnd w:id="20"/>
      <w:bookmarkEnd w:id="22"/>
    </w:p>
    <w:tbl>
      <w:tblPr>
        <w:tblStyle w:val="TableGrid"/>
        <w:tblW w:w="0" w:type="auto"/>
        <w:tblLook w:val="04A0" w:firstRow="1" w:lastRow="0" w:firstColumn="1" w:lastColumn="0" w:noHBand="0" w:noVBand="1"/>
      </w:tblPr>
      <w:tblGrid>
        <w:gridCol w:w="456"/>
        <w:gridCol w:w="2419"/>
        <w:gridCol w:w="2610"/>
        <w:gridCol w:w="4095"/>
      </w:tblGrid>
      <w:tr w:rsidR="008C39E5" w14:paraId="0078C054" w14:textId="77777777" w:rsidTr="008A469B">
        <w:tc>
          <w:tcPr>
            <w:tcW w:w="456" w:type="dxa"/>
          </w:tcPr>
          <w:p w14:paraId="7A05B074" w14:textId="77777777" w:rsidR="008C39E5" w:rsidRPr="001C23A0" w:rsidRDefault="008C39E5" w:rsidP="00E221A1">
            <w:pPr>
              <w:keepNext/>
              <w:rPr>
                <w:b/>
              </w:rPr>
            </w:pPr>
            <w:r w:rsidRPr="001C23A0">
              <w:rPr>
                <w:b/>
              </w:rPr>
              <w:t>#</w:t>
            </w:r>
          </w:p>
        </w:tc>
        <w:tc>
          <w:tcPr>
            <w:tcW w:w="2419" w:type="dxa"/>
          </w:tcPr>
          <w:p w14:paraId="474F3A5E" w14:textId="16CC970C" w:rsidR="008C39E5" w:rsidRPr="001C23A0" w:rsidRDefault="00556EA2" w:rsidP="00E221A1">
            <w:pPr>
              <w:keepNext/>
              <w:jc w:val="left"/>
              <w:rPr>
                <w:b/>
              </w:rPr>
            </w:pPr>
            <w:r>
              <w:rPr>
                <w:b/>
              </w:rPr>
              <w:t>ASCE 7-16 LRF</w:t>
            </w:r>
            <w:r w:rsidR="008C39E5" w:rsidRPr="001C23A0">
              <w:rPr>
                <w:b/>
              </w:rPr>
              <w:t xml:space="preserve">D </w:t>
            </w:r>
            <w:r w:rsidR="008C39E5" w:rsidRPr="001C23A0">
              <w:rPr>
                <w:b/>
              </w:rPr>
              <w:br/>
              <w:t xml:space="preserve">Load Cases </w:t>
            </w:r>
          </w:p>
        </w:tc>
        <w:tc>
          <w:tcPr>
            <w:tcW w:w="2610" w:type="dxa"/>
          </w:tcPr>
          <w:p w14:paraId="457EF51A" w14:textId="77777777" w:rsidR="008C39E5" w:rsidRPr="001C23A0" w:rsidRDefault="008C39E5" w:rsidP="00E221A1">
            <w:pPr>
              <w:keepNext/>
              <w:rPr>
                <w:b/>
              </w:rPr>
            </w:pPr>
            <w:r w:rsidRPr="001C23A0">
              <w:rPr>
                <w:b/>
              </w:rPr>
              <w:t>Expansion</w:t>
            </w:r>
          </w:p>
        </w:tc>
        <w:tc>
          <w:tcPr>
            <w:tcW w:w="4095" w:type="dxa"/>
          </w:tcPr>
          <w:p w14:paraId="328DAED4" w14:textId="77777777" w:rsidR="008C39E5" w:rsidRPr="001C23A0" w:rsidRDefault="008C39E5" w:rsidP="00E221A1">
            <w:pPr>
              <w:keepNext/>
              <w:rPr>
                <w:b/>
              </w:rPr>
            </w:pPr>
            <w:r w:rsidRPr="001C23A0">
              <w:rPr>
                <w:b/>
              </w:rPr>
              <w:t>Comments w.r.t. anchor</w:t>
            </w:r>
            <w:r>
              <w:rPr>
                <w:b/>
              </w:rPr>
              <w:t xml:space="preserve"> loads</w:t>
            </w:r>
          </w:p>
        </w:tc>
      </w:tr>
      <w:tr w:rsidR="008C39E5" w14:paraId="732A299C" w14:textId="77777777" w:rsidTr="0068203F">
        <w:tc>
          <w:tcPr>
            <w:tcW w:w="456" w:type="dxa"/>
            <w:shd w:val="clear" w:color="auto" w:fill="auto"/>
          </w:tcPr>
          <w:p w14:paraId="33770AAB" w14:textId="77777777" w:rsidR="008C39E5" w:rsidRDefault="008C39E5" w:rsidP="00E221A1">
            <w:pPr>
              <w:keepNext/>
            </w:pPr>
            <w:r>
              <w:t>1</w:t>
            </w:r>
          </w:p>
        </w:tc>
        <w:tc>
          <w:tcPr>
            <w:tcW w:w="2419" w:type="dxa"/>
            <w:shd w:val="clear" w:color="auto" w:fill="auto"/>
          </w:tcPr>
          <w:p w14:paraId="78E105C8" w14:textId="77777777" w:rsidR="008C39E5" w:rsidRDefault="008C39E5" w:rsidP="00E221A1">
            <w:pPr>
              <w:keepNext/>
            </w:pPr>
            <w:r>
              <w:t>1.4 D</w:t>
            </w:r>
          </w:p>
        </w:tc>
        <w:tc>
          <w:tcPr>
            <w:tcW w:w="2610" w:type="dxa"/>
            <w:shd w:val="clear" w:color="auto" w:fill="auto"/>
          </w:tcPr>
          <w:p w14:paraId="6BA7AFD2" w14:textId="77777777" w:rsidR="008C39E5" w:rsidRDefault="008C39E5" w:rsidP="00E221A1">
            <w:pPr>
              <w:keepNext/>
            </w:pPr>
            <w:r>
              <w:t>1.4 D</w:t>
            </w:r>
          </w:p>
        </w:tc>
        <w:tc>
          <w:tcPr>
            <w:tcW w:w="4095" w:type="dxa"/>
            <w:shd w:val="clear" w:color="auto" w:fill="auto"/>
          </w:tcPr>
          <w:p w14:paraId="1B10EB93" w14:textId="77777777" w:rsidR="008C39E5" w:rsidRDefault="008C39E5" w:rsidP="00E221A1">
            <w:pPr>
              <w:keepNext/>
            </w:pPr>
            <w:r>
              <w:t>NA: all compressive</w:t>
            </w:r>
          </w:p>
        </w:tc>
      </w:tr>
      <w:tr w:rsidR="008C39E5" w14:paraId="0228142A" w14:textId="77777777" w:rsidTr="008A469B">
        <w:tc>
          <w:tcPr>
            <w:tcW w:w="456" w:type="dxa"/>
          </w:tcPr>
          <w:p w14:paraId="338B4341" w14:textId="77777777" w:rsidR="008C39E5" w:rsidRDefault="008C39E5" w:rsidP="00E221A1">
            <w:pPr>
              <w:keepNext/>
            </w:pPr>
            <w:r>
              <w:t>2</w:t>
            </w:r>
          </w:p>
        </w:tc>
        <w:tc>
          <w:tcPr>
            <w:tcW w:w="2419" w:type="dxa"/>
          </w:tcPr>
          <w:p w14:paraId="009FD894" w14:textId="77777777" w:rsidR="008C39E5" w:rsidRDefault="008C39E5" w:rsidP="00E221A1">
            <w:pPr>
              <w:keepNext/>
            </w:pPr>
            <w:r>
              <w:t>1.2 D + 1.6 L</w:t>
            </w:r>
          </w:p>
        </w:tc>
        <w:tc>
          <w:tcPr>
            <w:tcW w:w="2610" w:type="dxa"/>
          </w:tcPr>
          <w:p w14:paraId="0F444F94" w14:textId="77777777" w:rsidR="008C39E5" w:rsidRDefault="008C39E5" w:rsidP="00E221A1">
            <w:pPr>
              <w:keepNext/>
            </w:pPr>
            <w:r>
              <w:t>1.2 D + 1.6 Lvac</w:t>
            </w:r>
          </w:p>
        </w:tc>
        <w:tc>
          <w:tcPr>
            <w:tcW w:w="4095" w:type="dxa"/>
          </w:tcPr>
          <w:p w14:paraId="4AADA1E1" w14:textId="77777777" w:rsidR="008C39E5" w:rsidRDefault="008C39E5" w:rsidP="00E221A1">
            <w:pPr>
              <w:keepNext/>
            </w:pPr>
          </w:p>
        </w:tc>
      </w:tr>
      <w:tr w:rsidR="008C39E5" w14:paraId="10A40D2C" w14:textId="77777777" w:rsidTr="0096133C">
        <w:tc>
          <w:tcPr>
            <w:tcW w:w="456" w:type="dxa"/>
            <w:shd w:val="clear" w:color="auto" w:fill="D9D9D9" w:themeFill="background1" w:themeFillShade="D9"/>
          </w:tcPr>
          <w:p w14:paraId="569A3BC4" w14:textId="77777777" w:rsidR="008C39E5" w:rsidRDefault="008C39E5" w:rsidP="00E221A1">
            <w:pPr>
              <w:keepNext/>
            </w:pPr>
            <w:r>
              <w:t>3a</w:t>
            </w:r>
          </w:p>
        </w:tc>
        <w:tc>
          <w:tcPr>
            <w:tcW w:w="2419" w:type="dxa"/>
            <w:vMerge w:val="restart"/>
            <w:shd w:val="clear" w:color="auto" w:fill="D9D9D9" w:themeFill="background1" w:themeFillShade="D9"/>
          </w:tcPr>
          <w:p w14:paraId="75F3A3FF" w14:textId="77777777" w:rsidR="008C39E5" w:rsidRDefault="008C39E5" w:rsidP="00E221A1">
            <w:pPr>
              <w:keepNext/>
            </w:pPr>
            <w:r>
              <w:t>1.2 D + E</w:t>
            </w:r>
            <w:r w:rsidRPr="00DC692E">
              <w:rPr>
                <w:vertAlign w:val="subscript"/>
              </w:rPr>
              <w:t>v</w:t>
            </w:r>
            <w:r>
              <w:t xml:space="preserve"> + E</w:t>
            </w:r>
            <w:r w:rsidRPr="00DC692E">
              <w:rPr>
                <w:vertAlign w:val="subscript"/>
              </w:rPr>
              <w:t>h</w:t>
            </w:r>
            <w:r>
              <w:t xml:space="preserve"> + L</w:t>
            </w:r>
          </w:p>
        </w:tc>
        <w:tc>
          <w:tcPr>
            <w:tcW w:w="2610" w:type="dxa"/>
            <w:shd w:val="clear" w:color="auto" w:fill="D9D9D9" w:themeFill="background1" w:themeFillShade="D9"/>
          </w:tcPr>
          <w:p w14:paraId="1EE75DA8" w14:textId="77777777" w:rsidR="008C39E5" w:rsidRDefault="008C39E5" w:rsidP="00E221A1">
            <w:pPr>
              <w:keepNext/>
            </w:pPr>
            <w:r>
              <w:t>1.279 D + Ehx + Lvac</w:t>
            </w:r>
          </w:p>
        </w:tc>
        <w:tc>
          <w:tcPr>
            <w:tcW w:w="4095" w:type="dxa"/>
            <w:shd w:val="clear" w:color="auto" w:fill="D9D9D9" w:themeFill="background1" w:themeFillShade="D9"/>
          </w:tcPr>
          <w:p w14:paraId="2D00BECA" w14:textId="77777777" w:rsidR="008C39E5" w:rsidRDefault="008C39E5" w:rsidP="00E221A1">
            <w:pPr>
              <w:keepNext/>
            </w:pPr>
            <w:r>
              <w:t>NA: Case 5a exceeds case 3a</w:t>
            </w:r>
          </w:p>
        </w:tc>
      </w:tr>
      <w:tr w:rsidR="008C39E5" w14:paraId="4FE59DF4" w14:textId="77777777" w:rsidTr="0096133C">
        <w:tc>
          <w:tcPr>
            <w:tcW w:w="456" w:type="dxa"/>
            <w:shd w:val="clear" w:color="auto" w:fill="D9D9D9" w:themeFill="background1" w:themeFillShade="D9"/>
          </w:tcPr>
          <w:p w14:paraId="009A16E6" w14:textId="77777777" w:rsidR="008C39E5" w:rsidRDefault="008C39E5" w:rsidP="00E221A1">
            <w:pPr>
              <w:keepNext/>
            </w:pPr>
            <w:r>
              <w:t>3b</w:t>
            </w:r>
          </w:p>
        </w:tc>
        <w:tc>
          <w:tcPr>
            <w:tcW w:w="2419" w:type="dxa"/>
            <w:vMerge/>
            <w:shd w:val="clear" w:color="auto" w:fill="D9D9D9" w:themeFill="background1" w:themeFillShade="D9"/>
          </w:tcPr>
          <w:p w14:paraId="326D14BA" w14:textId="77777777" w:rsidR="008C39E5" w:rsidRDefault="008C39E5" w:rsidP="00E221A1">
            <w:pPr>
              <w:keepNext/>
            </w:pPr>
          </w:p>
        </w:tc>
        <w:tc>
          <w:tcPr>
            <w:tcW w:w="2610" w:type="dxa"/>
            <w:shd w:val="clear" w:color="auto" w:fill="D9D9D9" w:themeFill="background1" w:themeFillShade="D9"/>
          </w:tcPr>
          <w:p w14:paraId="1DC0ECA1" w14:textId="77777777" w:rsidR="008C39E5" w:rsidRDefault="008C39E5" w:rsidP="00E221A1">
            <w:pPr>
              <w:keepNext/>
            </w:pPr>
            <w:r>
              <w:t>1.279 D + Ehy + Lvac</w:t>
            </w:r>
          </w:p>
        </w:tc>
        <w:tc>
          <w:tcPr>
            <w:tcW w:w="4095" w:type="dxa"/>
            <w:shd w:val="clear" w:color="auto" w:fill="D9D9D9" w:themeFill="background1" w:themeFillShade="D9"/>
          </w:tcPr>
          <w:p w14:paraId="0D429F4A" w14:textId="77777777" w:rsidR="008C39E5" w:rsidRDefault="008C39E5" w:rsidP="00E221A1">
            <w:pPr>
              <w:keepNext/>
            </w:pPr>
            <w:r>
              <w:t>NA: Case 5b exceeds case 3b</w:t>
            </w:r>
          </w:p>
        </w:tc>
      </w:tr>
      <w:tr w:rsidR="008C39E5" w14:paraId="3C0C1EDA" w14:textId="77777777" w:rsidTr="0096133C">
        <w:tc>
          <w:tcPr>
            <w:tcW w:w="456" w:type="dxa"/>
            <w:shd w:val="clear" w:color="auto" w:fill="D9D9D9" w:themeFill="background1" w:themeFillShade="D9"/>
          </w:tcPr>
          <w:p w14:paraId="36E98773" w14:textId="77777777" w:rsidR="008C39E5" w:rsidRDefault="008C39E5" w:rsidP="00E221A1">
            <w:pPr>
              <w:keepNext/>
            </w:pPr>
            <w:r>
              <w:t>4a</w:t>
            </w:r>
          </w:p>
        </w:tc>
        <w:tc>
          <w:tcPr>
            <w:tcW w:w="2419" w:type="dxa"/>
            <w:vMerge w:val="restart"/>
            <w:shd w:val="clear" w:color="auto" w:fill="D9D9D9" w:themeFill="background1" w:themeFillShade="D9"/>
          </w:tcPr>
          <w:p w14:paraId="37FE14DA" w14:textId="77777777" w:rsidR="008C39E5" w:rsidRDefault="008C39E5" w:rsidP="00E221A1">
            <w:pPr>
              <w:keepNext/>
            </w:pPr>
            <w:r>
              <w:t>0.9 D – E</w:t>
            </w:r>
            <w:r w:rsidRPr="00DC692E">
              <w:rPr>
                <w:vertAlign w:val="subscript"/>
              </w:rPr>
              <w:t>v</w:t>
            </w:r>
            <w:r>
              <w:t xml:space="preserve"> + E</w:t>
            </w:r>
            <w:r w:rsidRPr="00DC692E">
              <w:rPr>
                <w:vertAlign w:val="subscript"/>
              </w:rPr>
              <w:t>h</w:t>
            </w:r>
          </w:p>
        </w:tc>
        <w:tc>
          <w:tcPr>
            <w:tcW w:w="2610" w:type="dxa"/>
            <w:shd w:val="clear" w:color="auto" w:fill="D9D9D9" w:themeFill="background1" w:themeFillShade="D9"/>
          </w:tcPr>
          <w:p w14:paraId="2972D360" w14:textId="77777777" w:rsidR="008C39E5" w:rsidRDefault="008C39E5" w:rsidP="00E221A1">
            <w:pPr>
              <w:keepNext/>
            </w:pPr>
            <w:r>
              <w:t>0.821 D + Ehx</w:t>
            </w:r>
          </w:p>
        </w:tc>
        <w:tc>
          <w:tcPr>
            <w:tcW w:w="4095" w:type="dxa"/>
            <w:shd w:val="clear" w:color="auto" w:fill="D9D9D9" w:themeFill="background1" w:themeFillShade="D9"/>
          </w:tcPr>
          <w:p w14:paraId="3523DE18" w14:textId="77777777" w:rsidR="008C39E5" w:rsidRDefault="008C39E5" w:rsidP="00E221A1">
            <w:pPr>
              <w:keepNext/>
            </w:pPr>
            <w:r>
              <w:t>NA: Case 6a exceeds case 4a</w:t>
            </w:r>
          </w:p>
        </w:tc>
      </w:tr>
      <w:tr w:rsidR="008C39E5" w14:paraId="1857A99C" w14:textId="77777777" w:rsidTr="0096133C">
        <w:tc>
          <w:tcPr>
            <w:tcW w:w="456" w:type="dxa"/>
            <w:shd w:val="clear" w:color="auto" w:fill="D9D9D9" w:themeFill="background1" w:themeFillShade="D9"/>
          </w:tcPr>
          <w:p w14:paraId="38086CC2" w14:textId="77777777" w:rsidR="008C39E5" w:rsidRDefault="008C39E5" w:rsidP="00E221A1">
            <w:pPr>
              <w:keepNext/>
            </w:pPr>
            <w:r>
              <w:t>4b</w:t>
            </w:r>
          </w:p>
        </w:tc>
        <w:tc>
          <w:tcPr>
            <w:tcW w:w="2419" w:type="dxa"/>
            <w:vMerge/>
            <w:shd w:val="clear" w:color="auto" w:fill="D9D9D9" w:themeFill="background1" w:themeFillShade="D9"/>
          </w:tcPr>
          <w:p w14:paraId="364126F8" w14:textId="77777777" w:rsidR="008C39E5" w:rsidRDefault="008C39E5" w:rsidP="00E221A1">
            <w:pPr>
              <w:keepNext/>
            </w:pPr>
          </w:p>
        </w:tc>
        <w:tc>
          <w:tcPr>
            <w:tcW w:w="2610" w:type="dxa"/>
            <w:shd w:val="clear" w:color="auto" w:fill="D9D9D9" w:themeFill="background1" w:themeFillShade="D9"/>
          </w:tcPr>
          <w:p w14:paraId="7C80BF6C" w14:textId="77777777" w:rsidR="008C39E5" w:rsidRDefault="008C39E5" w:rsidP="00E221A1">
            <w:pPr>
              <w:keepNext/>
            </w:pPr>
            <w:r>
              <w:t>0.821 D + Ehy</w:t>
            </w:r>
          </w:p>
        </w:tc>
        <w:tc>
          <w:tcPr>
            <w:tcW w:w="4095" w:type="dxa"/>
            <w:shd w:val="clear" w:color="auto" w:fill="D9D9D9" w:themeFill="background1" w:themeFillShade="D9"/>
          </w:tcPr>
          <w:p w14:paraId="723C8F70" w14:textId="77777777" w:rsidR="008C39E5" w:rsidRDefault="008C39E5" w:rsidP="00E221A1">
            <w:pPr>
              <w:keepNext/>
            </w:pPr>
            <w:r>
              <w:t>NA: Case 6b exceeds case 4b</w:t>
            </w:r>
          </w:p>
        </w:tc>
      </w:tr>
      <w:tr w:rsidR="008C39E5" w14:paraId="4F3E3D10" w14:textId="77777777" w:rsidTr="008A469B">
        <w:tc>
          <w:tcPr>
            <w:tcW w:w="456" w:type="dxa"/>
          </w:tcPr>
          <w:p w14:paraId="76128B21" w14:textId="77777777" w:rsidR="008C39E5" w:rsidRDefault="008C39E5" w:rsidP="00E221A1">
            <w:pPr>
              <w:keepNext/>
            </w:pPr>
            <w:r>
              <w:t>5a</w:t>
            </w:r>
          </w:p>
        </w:tc>
        <w:tc>
          <w:tcPr>
            <w:tcW w:w="2419" w:type="dxa"/>
            <w:vMerge w:val="restart"/>
          </w:tcPr>
          <w:p w14:paraId="40705970" w14:textId="77777777" w:rsidR="008C39E5" w:rsidRDefault="008C39E5" w:rsidP="00E221A1">
            <w:pPr>
              <w:keepNext/>
            </w:pPr>
            <w:r>
              <w:t>1.2 D + E</w:t>
            </w:r>
            <w:r w:rsidRPr="00DC692E">
              <w:rPr>
                <w:vertAlign w:val="subscript"/>
              </w:rPr>
              <w:t>v</w:t>
            </w:r>
            <w:r>
              <w:t xml:space="preserve"> + E</w:t>
            </w:r>
            <w:r w:rsidRPr="00DC692E">
              <w:rPr>
                <w:vertAlign w:val="subscript"/>
              </w:rPr>
              <w:t>mh</w:t>
            </w:r>
            <w:r>
              <w:t xml:space="preserve"> + L</w:t>
            </w:r>
          </w:p>
        </w:tc>
        <w:tc>
          <w:tcPr>
            <w:tcW w:w="2610" w:type="dxa"/>
          </w:tcPr>
          <w:p w14:paraId="3123FF9F" w14:textId="77777777" w:rsidR="008C39E5" w:rsidRDefault="008C39E5" w:rsidP="00E221A1">
            <w:pPr>
              <w:keepNext/>
            </w:pPr>
            <w:r>
              <w:t>1.279 D + 2 Ehx + Lvac</w:t>
            </w:r>
          </w:p>
        </w:tc>
        <w:tc>
          <w:tcPr>
            <w:tcW w:w="4095" w:type="dxa"/>
          </w:tcPr>
          <w:p w14:paraId="4D1239BF" w14:textId="77777777" w:rsidR="008C39E5" w:rsidRDefault="008C39E5" w:rsidP="00E221A1">
            <w:pPr>
              <w:keepNext/>
            </w:pPr>
            <w:r>
              <w:t>By symmetry reversing Ehx doesn’t increase the anchor loading</w:t>
            </w:r>
          </w:p>
        </w:tc>
      </w:tr>
      <w:tr w:rsidR="008C39E5" w14:paraId="0863182E" w14:textId="77777777" w:rsidTr="008A469B">
        <w:tc>
          <w:tcPr>
            <w:tcW w:w="456" w:type="dxa"/>
          </w:tcPr>
          <w:p w14:paraId="21B95F23" w14:textId="77777777" w:rsidR="008C39E5" w:rsidRDefault="008C39E5" w:rsidP="00E221A1">
            <w:pPr>
              <w:keepNext/>
            </w:pPr>
            <w:r>
              <w:t>5b</w:t>
            </w:r>
          </w:p>
        </w:tc>
        <w:tc>
          <w:tcPr>
            <w:tcW w:w="2419" w:type="dxa"/>
            <w:vMerge/>
          </w:tcPr>
          <w:p w14:paraId="5F8390C3" w14:textId="77777777" w:rsidR="008C39E5" w:rsidRDefault="008C39E5" w:rsidP="00E221A1">
            <w:pPr>
              <w:keepNext/>
            </w:pPr>
          </w:p>
        </w:tc>
        <w:tc>
          <w:tcPr>
            <w:tcW w:w="2610" w:type="dxa"/>
          </w:tcPr>
          <w:p w14:paraId="55557AE1" w14:textId="77777777" w:rsidR="008C39E5" w:rsidRDefault="008C39E5" w:rsidP="00E221A1">
            <w:pPr>
              <w:keepNext/>
            </w:pPr>
            <w:r>
              <w:t>1.279 D + 2 Ehy + Lvac</w:t>
            </w:r>
          </w:p>
        </w:tc>
        <w:tc>
          <w:tcPr>
            <w:tcW w:w="4095" w:type="dxa"/>
          </w:tcPr>
          <w:p w14:paraId="4B57F51C" w14:textId="77777777" w:rsidR="008C39E5" w:rsidRDefault="008C39E5" w:rsidP="00E221A1">
            <w:pPr>
              <w:keepNext/>
            </w:pPr>
            <w:r>
              <w:t>Ehy in the same direction as Lvac is the worst case direction</w:t>
            </w:r>
          </w:p>
        </w:tc>
      </w:tr>
      <w:tr w:rsidR="008C39E5" w14:paraId="1D2F05B7" w14:textId="77777777" w:rsidTr="008A469B">
        <w:tc>
          <w:tcPr>
            <w:tcW w:w="456" w:type="dxa"/>
          </w:tcPr>
          <w:p w14:paraId="5CA34A7E" w14:textId="77777777" w:rsidR="008C39E5" w:rsidRDefault="008C39E5" w:rsidP="00E221A1">
            <w:pPr>
              <w:keepNext/>
            </w:pPr>
            <w:r>
              <w:t>6a</w:t>
            </w:r>
          </w:p>
        </w:tc>
        <w:tc>
          <w:tcPr>
            <w:tcW w:w="2419" w:type="dxa"/>
            <w:vMerge w:val="restart"/>
          </w:tcPr>
          <w:p w14:paraId="7F6D9CEF" w14:textId="77777777" w:rsidR="008C39E5" w:rsidRDefault="008C39E5" w:rsidP="00E221A1">
            <w:pPr>
              <w:keepNext/>
            </w:pPr>
            <w:r>
              <w:t>0.9 D – E</w:t>
            </w:r>
            <w:r w:rsidRPr="00DC692E">
              <w:rPr>
                <w:vertAlign w:val="subscript"/>
              </w:rPr>
              <w:t>v</w:t>
            </w:r>
            <w:r>
              <w:t xml:space="preserve"> + E</w:t>
            </w:r>
            <w:r w:rsidRPr="00DC692E">
              <w:rPr>
                <w:vertAlign w:val="subscript"/>
              </w:rPr>
              <w:t>mh</w:t>
            </w:r>
          </w:p>
        </w:tc>
        <w:tc>
          <w:tcPr>
            <w:tcW w:w="2610" w:type="dxa"/>
          </w:tcPr>
          <w:p w14:paraId="2B2A82DF" w14:textId="77777777" w:rsidR="008C39E5" w:rsidRDefault="008C39E5" w:rsidP="00E221A1">
            <w:pPr>
              <w:keepNext/>
            </w:pPr>
            <w:r>
              <w:t>0.821 D + 2 Ehx</w:t>
            </w:r>
          </w:p>
        </w:tc>
        <w:tc>
          <w:tcPr>
            <w:tcW w:w="4095" w:type="dxa"/>
          </w:tcPr>
          <w:p w14:paraId="18EB7D34" w14:textId="77777777" w:rsidR="008C39E5" w:rsidRDefault="008C39E5" w:rsidP="00E221A1">
            <w:pPr>
              <w:keepNext/>
            </w:pPr>
            <w:r>
              <w:t>By symmetry reversing Ehx doesn’t increase the anchor loading</w:t>
            </w:r>
          </w:p>
        </w:tc>
      </w:tr>
      <w:tr w:rsidR="008C39E5" w14:paraId="7D5D0822" w14:textId="77777777" w:rsidTr="008A469B">
        <w:tc>
          <w:tcPr>
            <w:tcW w:w="456" w:type="dxa"/>
          </w:tcPr>
          <w:p w14:paraId="2FFAFE72" w14:textId="77777777" w:rsidR="008C39E5" w:rsidRDefault="008C39E5" w:rsidP="00E221A1">
            <w:pPr>
              <w:keepNext/>
            </w:pPr>
            <w:r>
              <w:t>6b</w:t>
            </w:r>
          </w:p>
        </w:tc>
        <w:tc>
          <w:tcPr>
            <w:tcW w:w="2419" w:type="dxa"/>
            <w:vMerge/>
          </w:tcPr>
          <w:p w14:paraId="4B002166" w14:textId="77777777" w:rsidR="008C39E5" w:rsidRDefault="008C39E5" w:rsidP="00E221A1">
            <w:pPr>
              <w:keepNext/>
            </w:pPr>
          </w:p>
        </w:tc>
        <w:tc>
          <w:tcPr>
            <w:tcW w:w="2610" w:type="dxa"/>
          </w:tcPr>
          <w:p w14:paraId="5F0E128E" w14:textId="77777777" w:rsidR="008C39E5" w:rsidRDefault="008C39E5" w:rsidP="00E221A1">
            <w:pPr>
              <w:keepNext/>
            </w:pPr>
            <w:r>
              <w:t>0.821 D + 2 Ehy</w:t>
            </w:r>
          </w:p>
        </w:tc>
        <w:tc>
          <w:tcPr>
            <w:tcW w:w="4095" w:type="dxa"/>
          </w:tcPr>
          <w:p w14:paraId="39EABCE2" w14:textId="77777777" w:rsidR="008C39E5" w:rsidRDefault="008C39E5" w:rsidP="00E221A1">
            <w:pPr>
              <w:keepNext/>
            </w:pPr>
            <w:r>
              <w:t>By symmetry reversing Ehy doesn’t increase the anchor loading</w:t>
            </w:r>
          </w:p>
        </w:tc>
      </w:tr>
    </w:tbl>
    <w:p w14:paraId="750DFEFA" w14:textId="77777777" w:rsidR="008C39E5" w:rsidRPr="009C36B7" w:rsidRDefault="008C39E5" w:rsidP="008C39E5"/>
    <w:p w14:paraId="2585D823" w14:textId="77777777" w:rsidR="000849FC" w:rsidRDefault="000849FC" w:rsidP="000849FC">
      <w:pPr>
        <w:pStyle w:val="Heading2"/>
      </w:pPr>
      <w:bookmarkStart w:id="23" w:name="_Toc50585520"/>
      <w:r>
        <w:t>Seismic Loads</w:t>
      </w:r>
      <w:bookmarkEnd w:id="23"/>
    </w:p>
    <w:p w14:paraId="1AC17761" w14:textId="77777777" w:rsidR="000849FC" w:rsidRDefault="000849FC" w:rsidP="000849FC">
      <w:pPr>
        <w:pStyle w:val="Heading3"/>
      </w:pPr>
      <w:bookmarkStart w:id="24" w:name="_Toc50585521"/>
      <w:r>
        <w:t>UBC 1994 and ASCE 7-88</w:t>
      </w:r>
      <w:bookmarkEnd w:id="24"/>
    </w:p>
    <w:p w14:paraId="0B0D94B7" w14:textId="027A3560" w:rsidR="000849FC" w:rsidRDefault="000849FC" w:rsidP="000849FC">
      <w:r>
        <w:t>The initial release of this document (-v1) essentially used the seismic requirements imposed on the design of the LIGO Beam Tube (BT). The requirements for structural resistance to seismic (earthquake) loading for the LIGO Beam Tube were based on the UBC 1994 edition</w:t>
      </w:r>
      <w:r>
        <w:rPr>
          <w:rStyle w:val="FootnoteReference"/>
        </w:rPr>
        <w:footnoteReference w:id="7"/>
      </w:r>
      <w:r>
        <w:t xml:space="preserve"> and the ASCE 7-88 codes. Seismic loading requirements for the LIGO Detector components are defined in section 8.2 of the “Generic Requirements and Standards for Detector Subsystems” (</w:t>
      </w:r>
      <w:hyperlink r:id="rId21" w:history="1">
        <w:r w:rsidRPr="00C211C2">
          <w:rPr>
            <w:rStyle w:val="Hyperlink"/>
          </w:rPr>
          <w:t>LIGO-E010613</w:t>
        </w:r>
      </w:hyperlink>
      <w:r>
        <w:t>-v2), which are in turn based on a static equivalent load methodology given in A. Chopra</w:t>
      </w:r>
      <w:r>
        <w:rPr>
          <w:rStyle w:val="FootnoteReference"/>
        </w:rPr>
        <w:footnoteReference w:id="8"/>
      </w:r>
      <w:r>
        <w:t xml:space="preserve"> and is consistent with the methodology of UBC 1994 and ASCE 7-88. These </w:t>
      </w:r>
      <w:hyperlink r:id="rId22" w:history="1">
        <w:r w:rsidRPr="00C211C2">
          <w:rPr>
            <w:rStyle w:val="Hyperlink"/>
          </w:rPr>
          <w:t>LIGO-E010613</w:t>
        </w:r>
      </w:hyperlink>
      <w:r>
        <w:t xml:space="preserve">-v2 requirements applied to the FCT are based on the lowest frequency of lateral motion which has been calculated to be 16 Hz (based on the dynamic analysis in </w:t>
      </w:r>
      <w:hyperlink r:id="rId23" w:history="1">
        <w:r w:rsidRPr="00C211C2">
          <w:rPr>
            <w:rStyle w:val="Hyperlink"/>
          </w:rPr>
          <w:t>LIGO-T2000280</w:t>
        </w:r>
      </w:hyperlink>
      <w:r>
        <w:t>-v2) assuming a fixed support base at the interface with the ground. Using 16 Hz as the minimum frequency, the criteria are:</w:t>
      </w:r>
    </w:p>
    <w:p w14:paraId="230EE71B" w14:textId="77777777" w:rsidR="000849FC" w:rsidRDefault="000849FC" w:rsidP="000849FC">
      <w:pPr>
        <w:pStyle w:val="ListParagraph"/>
        <w:numPr>
          <w:ilvl w:val="0"/>
          <w:numId w:val="5"/>
        </w:numPr>
      </w:pPr>
      <w:r w:rsidRPr="00847DB3">
        <w:rPr>
          <w:u w:val="single"/>
        </w:rPr>
        <w:lastRenderedPageBreak/>
        <w:t>Moderate earthquake</w:t>
      </w:r>
      <w:r>
        <w:t>: No damage (no stress exceeding the yield strength) shall occur for a simultaneous, static equivalent, load of 0.017 g vertical and 0.067 g horizontal (in the worst case horizontal direction).</w:t>
      </w:r>
    </w:p>
    <w:p w14:paraId="0DC4BA3F" w14:textId="77777777" w:rsidR="000849FC" w:rsidRDefault="000849FC" w:rsidP="000849FC">
      <w:pPr>
        <w:pStyle w:val="ListParagraph"/>
        <w:numPr>
          <w:ilvl w:val="0"/>
          <w:numId w:val="5"/>
        </w:numPr>
      </w:pPr>
      <w:r w:rsidRPr="00847DB3">
        <w:rPr>
          <w:u w:val="single"/>
        </w:rPr>
        <w:t>Severe earthquake</w:t>
      </w:r>
      <w:r>
        <w:t xml:space="preserve">: No catastrophic damage (no stress exceeding ultimate strength and no loss of integrity of the vacuum system) shall occur for a simultaneous, static equivalent, load of 0.062 g vertical and 0.25 g horizontal (in the worst case horizontal direction). </w:t>
      </w:r>
    </w:p>
    <w:p w14:paraId="4F29C8A5" w14:textId="77777777" w:rsidR="000849FC" w:rsidRDefault="000849FC" w:rsidP="000849FC">
      <w:r>
        <w:t>To be conservative (and to avoid the complexity of a materially nonlinear analysis), we took the no damage (no yield) criteria to apply for the severe earthquake load magnitude. The seismic static equivalent loads were applied in the lateral and axial (longitudinal) directions (separately), in combination with the dead load (weight), vacuum load and bake-out load, in a finite element analysis and the results given in –v1 of this document.</w:t>
      </w:r>
    </w:p>
    <w:p w14:paraId="11033FE8" w14:textId="77777777" w:rsidR="000849FC" w:rsidRDefault="000849FC" w:rsidP="000849FC">
      <w:pPr>
        <w:pStyle w:val="Heading3"/>
      </w:pPr>
      <w:bookmarkStart w:id="25" w:name="_Toc50585522"/>
      <w:r>
        <w:t>ASCE 7-16</w:t>
      </w:r>
      <w:bookmarkEnd w:id="25"/>
    </w:p>
    <w:p w14:paraId="44B75237" w14:textId="77777777" w:rsidR="000849FC" w:rsidRDefault="000849FC" w:rsidP="000849FC">
      <w:pPr>
        <w:pStyle w:val="Heading4"/>
      </w:pPr>
      <w:r>
        <w:t>Structure Type</w:t>
      </w:r>
    </w:p>
    <w:p w14:paraId="47D9E4E4" w14:textId="77777777" w:rsidR="000849FC" w:rsidRPr="00415C7E" w:rsidRDefault="000849FC" w:rsidP="000849FC">
      <w:r>
        <w:t>The ASCE 7-16 document defines “buildings” to be synonymous with “structures” but also defines another category called “other structures”: Structures, other than buildings, for which loads are specified in this standard.</w:t>
      </w:r>
    </w:p>
    <w:p w14:paraId="0D2EE1A9" w14:textId="72BE324D" w:rsidR="000849FC" w:rsidRDefault="000849FC" w:rsidP="008C39E5">
      <w:r>
        <w:t>ASCE 7-16, pg. 148, Table 15.4-2, “</w:t>
      </w:r>
      <w:r w:rsidRPr="00A76E62">
        <w:t>Seismic Coefficients for Nonbuilding Structures Not Similar to Buildings</w:t>
      </w:r>
      <w:r>
        <w:t>” lists a few nonbuilding structures types which seem potentially applicable</w:t>
      </w:r>
      <w:r w:rsidR="008C39E5">
        <w:t xml:space="preserve"> to the FCT, which are given in </w:t>
      </w:r>
      <w:r w:rsidR="008C39E5">
        <w:fldChar w:fldCharType="begin"/>
      </w:r>
      <w:r w:rsidR="008C39E5">
        <w:instrText xml:space="preserve"> REF _Ref46577720 \h </w:instrText>
      </w:r>
      <w:r w:rsidR="008C39E5">
        <w:fldChar w:fldCharType="separate"/>
      </w:r>
      <w:r w:rsidR="00102C1B">
        <w:t xml:space="preserve">Table </w:t>
      </w:r>
      <w:r w:rsidR="00102C1B">
        <w:rPr>
          <w:noProof/>
        </w:rPr>
        <w:t>3</w:t>
      </w:r>
      <w:r w:rsidR="008C39E5">
        <w:fldChar w:fldCharType="end"/>
      </w:r>
      <w:r w:rsidR="008C39E5">
        <w:t>.</w:t>
      </w:r>
    </w:p>
    <w:p w14:paraId="5A93DA46" w14:textId="59DF712B" w:rsidR="000849FC" w:rsidRDefault="000849FC" w:rsidP="008C39E5">
      <w:pPr>
        <w:pStyle w:val="Caption"/>
        <w:keepNext/>
      </w:pPr>
      <w:bookmarkStart w:id="26" w:name="_Ref46577720"/>
      <w:bookmarkStart w:id="27" w:name="_Toc50585536"/>
      <w:r>
        <w:t xml:space="preserve">Table </w:t>
      </w:r>
      <w:r w:rsidR="00EE65F7">
        <w:fldChar w:fldCharType="begin"/>
      </w:r>
      <w:r w:rsidR="00EE65F7">
        <w:instrText xml:space="preserve"> SEQ Table \* ARABIC </w:instrText>
      </w:r>
      <w:r w:rsidR="00EE65F7">
        <w:fldChar w:fldCharType="separate"/>
      </w:r>
      <w:r w:rsidR="00102C1B">
        <w:rPr>
          <w:noProof/>
        </w:rPr>
        <w:t>3</w:t>
      </w:r>
      <w:r w:rsidR="00EE65F7">
        <w:rPr>
          <w:noProof/>
        </w:rPr>
        <w:fldChar w:fldCharType="end"/>
      </w:r>
      <w:bookmarkEnd w:id="26"/>
      <w:r>
        <w:t xml:space="preserve">  Nonbuilding Structure Type applicable to the FCT</w:t>
      </w:r>
      <w:bookmarkEnd w:id="27"/>
    </w:p>
    <w:tbl>
      <w:tblPr>
        <w:tblStyle w:val="TableGrid"/>
        <w:tblW w:w="0" w:type="auto"/>
        <w:tblLook w:val="04A0" w:firstRow="1" w:lastRow="0" w:firstColumn="1" w:lastColumn="0" w:noHBand="0" w:noVBand="1"/>
      </w:tblPr>
      <w:tblGrid>
        <w:gridCol w:w="7375"/>
        <w:gridCol w:w="720"/>
        <w:gridCol w:w="720"/>
        <w:gridCol w:w="765"/>
      </w:tblGrid>
      <w:tr w:rsidR="000849FC" w14:paraId="0C02337C" w14:textId="77777777" w:rsidTr="008C39E5">
        <w:trPr>
          <w:cantSplit/>
        </w:trPr>
        <w:tc>
          <w:tcPr>
            <w:tcW w:w="7375" w:type="dxa"/>
          </w:tcPr>
          <w:p w14:paraId="75298D03" w14:textId="77777777" w:rsidR="000849FC" w:rsidRPr="00463E25" w:rsidRDefault="000849FC" w:rsidP="008C39E5">
            <w:pPr>
              <w:keepNext/>
              <w:rPr>
                <w:b/>
              </w:rPr>
            </w:pPr>
            <w:r w:rsidRPr="00463E25">
              <w:rPr>
                <w:b/>
              </w:rPr>
              <w:t>nonbuilding structure type</w:t>
            </w:r>
          </w:p>
        </w:tc>
        <w:tc>
          <w:tcPr>
            <w:tcW w:w="720" w:type="dxa"/>
          </w:tcPr>
          <w:p w14:paraId="5613A745" w14:textId="77777777" w:rsidR="000849FC" w:rsidRPr="00463E25" w:rsidRDefault="000849FC" w:rsidP="008C39E5">
            <w:pPr>
              <w:keepNext/>
              <w:rPr>
                <w:b/>
              </w:rPr>
            </w:pPr>
            <w:r w:rsidRPr="00463E25">
              <w:rPr>
                <w:b/>
              </w:rPr>
              <w:t>R</w:t>
            </w:r>
          </w:p>
        </w:tc>
        <w:tc>
          <w:tcPr>
            <w:tcW w:w="720" w:type="dxa"/>
          </w:tcPr>
          <w:p w14:paraId="4B04F395" w14:textId="77777777" w:rsidR="000849FC" w:rsidRPr="00463E25" w:rsidRDefault="000849FC" w:rsidP="008C39E5">
            <w:pPr>
              <w:keepNext/>
              <w:rPr>
                <w:b/>
              </w:rPr>
            </w:pPr>
            <w:r w:rsidRPr="00463E25">
              <w:rPr>
                <w:b/>
              </w:rPr>
              <w:t>Ω</w:t>
            </w:r>
            <w:r w:rsidRPr="00463E25">
              <w:rPr>
                <w:b/>
                <w:vertAlign w:val="subscript"/>
              </w:rPr>
              <w:t>0</w:t>
            </w:r>
          </w:p>
        </w:tc>
        <w:tc>
          <w:tcPr>
            <w:tcW w:w="765" w:type="dxa"/>
          </w:tcPr>
          <w:p w14:paraId="18017C17" w14:textId="77777777" w:rsidR="000849FC" w:rsidRPr="00463E25" w:rsidRDefault="000849FC" w:rsidP="008C39E5">
            <w:pPr>
              <w:keepNext/>
              <w:rPr>
                <w:b/>
              </w:rPr>
            </w:pPr>
            <w:r w:rsidRPr="00463E25">
              <w:rPr>
                <w:b/>
              </w:rPr>
              <w:t>C</w:t>
            </w:r>
            <w:r w:rsidRPr="00463E25">
              <w:rPr>
                <w:b/>
                <w:vertAlign w:val="subscript"/>
              </w:rPr>
              <w:t>d</w:t>
            </w:r>
          </w:p>
        </w:tc>
      </w:tr>
      <w:tr w:rsidR="000849FC" w14:paraId="448C4323" w14:textId="77777777" w:rsidTr="008C39E5">
        <w:trPr>
          <w:cantSplit/>
        </w:trPr>
        <w:tc>
          <w:tcPr>
            <w:tcW w:w="7375" w:type="dxa"/>
          </w:tcPr>
          <w:p w14:paraId="4B7DC735" w14:textId="77777777" w:rsidR="000849FC" w:rsidRDefault="000849FC" w:rsidP="008C39E5">
            <w:pPr>
              <w:keepNext/>
            </w:pPr>
            <w:r w:rsidRPr="004960B1">
              <w:t>Elevated tanks, vessels, bins, or hoppers:</w:t>
            </w:r>
            <w:r>
              <w:t xml:space="preserve"> </w:t>
            </w:r>
            <w:r w:rsidRPr="004960B1">
              <w:t>On symmetrically braced legs</w:t>
            </w:r>
          </w:p>
        </w:tc>
        <w:tc>
          <w:tcPr>
            <w:tcW w:w="720" w:type="dxa"/>
          </w:tcPr>
          <w:p w14:paraId="335007B5" w14:textId="77777777" w:rsidR="000849FC" w:rsidRDefault="000849FC" w:rsidP="008C39E5">
            <w:pPr>
              <w:keepNext/>
            </w:pPr>
            <w:r>
              <w:t>3</w:t>
            </w:r>
          </w:p>
        </w:tc>
        <w:tc>
          <w:tcPr>
            <w:tcW w:w="720" w:type="dxa"/>
          </w:tcPr>
          <w:p w14:paraId="20448139" w14:textId="77777777" w:rsidR="000849FC" w:rsidRDefault="000849FC" w:rsidP="008C39E5">
            <w:pPr>
              <w:keepNext/>
            </w:pPr>
            <w:r>
              <w:t>2</w:t>
            </w:r>
          </w:p>
        </w:tc>
        <w:tc>
          <w:tcPr>
            <w:tcW w:w="765" w:type="dxa"/>
          </w:tcPr>
          <w:p w14:paraId="7F1E32B5" w14:textId="77777777" w:rsidR="000849FC" w:rsidRDefault="000849FC" w:rsidP="008C39E5">
            <w:pPr>
              <w:keepNext/>
            </w:pPr>
            <w:r>
              <w:t>2.5</w:t>
            </w:r>
          </w:p>
        </w:tc>
      </w:tr>
      <w:tr w:rsidR="000849FC" w14:paraId="16BB7035" w14:textId="77777777" w:rsidTr="008C39E5">
        <w:trPr>
          <w:cantSplit/>
        </w:trPr>
        <w:tc>
          <w:tcPr>
            <w:tcW w:w="7375" w:type="dxa"/>
          </w:tcPr>
          <w:p w14:paraId="53F87972" w14:textId="77777777" w:rsidR="000849FC" w:rsidRDefault="000849FC" w:rsidP="008C39E5">
            <w:pPr>
              <w:keepNext/>
            </w:pPr>
            <w:r w:rsidRPr="004960B1">
              <w:t>Elevated tanks, vessels, bins, or hoppers:</w:t>
            </w:r>
            <w:r>
              <w:t xml:space="preserve"> On unbraced legs or asymmetrically braced legs</w:t>
            </w:r>
          </w:p>
        </w:tc>
        <w:tc>
          <w:tcPr>
            <w:tcW w:w="720" w:type="dxa"/>
          </w:tcPr>
          <w:p w14:paraId="7E57DB2F" w14:textId="77777777" w:rsidR="000849FC" w:rsidRDefault="000849FC" w:rsidP="008C39E5">
            <w:pPr>
              <w:keepNext/>
            </w:pPr>
            <w:r>
              <w:t>2</w:t>
            </w:r>
          </w:p>
        </w:tc>
        <w:tc>
          <w:tcPr>
            <w:tcW w:w="720" w:type="dxa"/>
          </w:tcPr>
          <w:p w14:paraId="0B8092F0" w14:textId="77777777" w:rsidR="000849FC" w:rsidRDefault="000849FC" w:rsidP="008C39E5">
            <w:pPr>
              <w:keepNext/>
            </w:pPr>
            <w:r>
              <w:t>2</w:t>
            </w:r>
          </w:p>
        </w:tc>
        <w:tc>
          <w:tcPr>
            <w:tcW w:w="765" w:type="dxa"/>
          </w:tcPr>
          <w:p w14:paraId="5E91B436" w14:textId="77777777" w:rsidR="000849FC" w:rsidRDefault="000849FC" w:rsidP="008C39E5">
            <w:pPr>
              <w:keepNext/>
            </w:pPr>
            <w:r>
              <w:t>2.5</w:t>
            </w:r>
          </w:p>
        </w:tc>
      </w:tr>
      <w:tr w:rsidR="000849FC" w14:paraId="5F4667D0" w14:textId="77777777" w:rsidTr="008C39E5">
        <w:trPr>
          <w:cantSplit/>
        </w:trPr>
        <w:tc>
          <w:tcPr>
            <w:tcW w:w="7375" w:type="dxa"/>
          </w:tcPr>
          <w:p w14:paraId="2FCC6D02" w14:textId="77777777" w:rsidR="000849FC" w:rsidRDefault="000849FC" w:rsidP="008C39E5">
            <w:pPr>
              <w:keepNext/>
            </w:pPr>
            <w:r>
              <w:t>Inverted pendulum type structures (except elevated tanks, vessels,</w:t>
            </w:r>
          </w:p>
          <w:p w14:paraId="507EB1B4" w14:textId="77777777" w:rsidR="000849FC" w:rsidRPr="004960B1" w:rsidRDefault="000849FC" w:rsidP="008C39E5">
            <w:pPr>
              <w:keepNext/>
            </w:pPr>
            <w:r>
              <w:t>bins, and hoppers)</w:t>
            </w:r>
          </w:p>
        </w:tc>
        <w:tc>
          <w:tcPr>
            <w:tcW w:w="720" w:type="dxa"/>
          </w:tcPr>
          <w:p w14:paraId="27742746" w14:textId="77777777" w:rsidR="000849FC" w:rsidRDefault="000849FC" w:rsidP="008C39E5">
            <w:pPr>
              <w:keepNext/>
            </w:pPr>
            <w:r>
              <w:t>2</w:t>
            </w:r>
          </w:p>
        </w:tc>
        <w:tc>
          <w:tcPr>
            <w:tcW w:w="720" w:type="dxa"/>
          </w:tcPr>
          <w:p w14:paraId="2E137CF3" w14:textId="77777777" w:rsidR="000849FC" w:rsidRDefault="000849FC" w:rsidP="008C39E5">
            <w:pPr>
              <w:keepNext/>
            </w:pPr>
            <w:r>
              <w:t>2</w:t>
            </w:r>
          </w:p>
        </w:tc>
        <w:tc>
          <w:tcPr>
            <w:tcW w:w="765" w:type="dxa"/>
          </w:tcPr>
          <w:p w14:paraId="3CAD4BEC" w14:textId="77777777" w:rsidR="000849FC" w:rsidRDefault="000849FC" w:rsidP="008C39E5">
            <w:pPr>
              <w:keepNext/>
            </w:pPr>
            <w:r>
              <w:t>2</w:t>
            </w:r>
          </w:p>
        </w:tc>
      </w:tr>
      <w:tr w:rsidR="000849FC" w14:paraId="41732E2C" w14:textId="77777777" w:rsidTr="008C39E5">
        <w:trPr>
          <w:cantSplit/>
        </w:trPr>
        <w:tc>
          <w:tcPr>
            <w:tcW w:w="7375" w:type="dxa"/>
          </w:tcPr>
          <w:p w14:paraId="2B09708E" w14:textId="77777777" w:rsidR="000849FC" w:rsidRDefault="000849FC" w:rsidP="008C39E5">
            <w:pPr>
              <w:keepNext/>
            </w:pPr>
            <w:r>
              <w:t>All other self-supporting structures, tanks, or vessels not covered</w:t>
            </w:r>
          </w:p>
          <w:p w14:paraId="242FB0D5" w14:textId="77777777" w:rsidR="000849FC" w:rsidRDefault="000849FC" w:rsidP="008C39E5">
            <w:pPr>
              <w:keepNext/>
            </w:pPr>
            <w:r>
              <w:t>above or by reference standards</w:t>
            </w:r>
          </w:p>
        </w:tc>
        <w:tc>
          <w:tcPr>
            <w:tcW w:w="720" w:type="dxa"/>
          </w:tcPr>
          <w:p w14:paraId="549FAC86" w14:textId="77777777" w:rsidR="000849FC" w:rsidRDefault="000849FC" w:rsidP="008C39E5">
            <w:pPr>
              <w:keepNext/>
            </w:pPr>
            <w:r>
              <w:t>1.25</w:t>
            </w:r>
          </w:p>
        </w:tc>
        <w:tc>
          <w:tcPr>
            <w:tcW w:w="720" w:type="dxa"/>
          </w:tcPr>
          <w:p w14:paraId="0CAA8605" w14:textId="77777777" w:rsidR="000849FC" w:rsidRDefault="000849FC" w:rsidP="008C39E5">
            <w:pPr>
              <w:keepNext/>
            </w:pPr>
            <w:r>
              <w:t>2</w:t>
            </w:r>
          </w:p>
        </w:tc>
        <w:tc>
          <w:tcPr>
            <w:tcW w:w="765" w:type="dxa"/>
          </w:tcPr>
          <w:p w14:paraId="04E43288" w14:textId="77777777" w:rsidR="000849FC" w:rsidRDefault="000849FC" w:rsidP="008C39E5">
            <w:pPr>
              <w:keepNext/>
            </w:pPr>
            <w:r>
              <w:t>2.5</w:t>
            </w:r>
          </w:p>
        </w:tc>
      </w:tr>
    </w:tbl>
    <w:p w14:paraId="7ABF329C" w14:textId="6710CFE6" w:rsidR="000849FC" w:rsidRDefault="000849FC" w:rsidP="000849FC">
      <w:r>
        <w:t xml:space="preserve">Tanks, vessels, bins and hoppers are assumed to contain liquids or </w:t>
      </w:r>
      <w:r w:rsidR="00B44B9E">
        <w:t>granules. If braced (stiffened) t</w:t>
      </w:r>
      <w:r>
        <w:t>he FCT will not be symmetrically braced (for good reasons) and resembles an (elongated) inverted pendulum, so I think the appropriate parameters are:</w:t>
      </w:r>
    </w:p>
    <w:p w14:paraId="140588B4" w14:textId="77777777" w:rsidR="000849FC" w:rsidRDefault="000849FC" w:rsidP="000849FC">
      <w:pPr>
        <w:pStyle w:val="ListParagraph"/>
        <w:numPr>
          <w:ilvl w:val="0"/>
          <w:numId w:val="12"/>
        </w:numPr>
      </w:pPr>
      <w:r>
        <w:t>Response Modification Coefficient, R = 2</w:t>
      </w:r>
    </w:p>
    <w:p w14:paraId="335A28F3" w14:textId="77777777" w:rsidR="000849FC" w:rsidRDefault="000849FC" w:rsidP="000849FC">
      <w:pPr>
        <w:pStyle w:val="ListParagraph"/>
        <w:numPr>
          <w:ilvl w:val="0"/>
          <w:numId w:val="12"/>
        </w:numPr>
      </w:pPr>
      <w:r>
        <w:t>Overstrength Factor, Ω</w:t>
      </w:r>
      <w:r w:rsidRPr="001A13A1">
        <w:rPr>
          <w:vertAlign w:val="subscript"/>
        </w:rPr>
        <w:t>0</w:t>
      </w:r>
      <w:r>
        <w:t xml:space="preserve"> = 2</w:t>
      </w:r>
    </w:p>
    <w:p w14:paraId="24E1B7AA" w14:textId="77777777" w:rsidR="000849FC" w:rsidRDefault="000849FC" w:rsidP="000849FC">
      <w:pPr>
        <w:pStyle w:val="ListParagraph"/>
        <w:numPr>
          <w:ilvl w:val="0"/>
          <w:numId w:val="12"/>
        </w:numPr>
      </w:pPr>
      <w:r>
        <w:t>Deflection Amplification Factor, C</w:t>
      </w:r>
      <w:r w:rsidRPr="001A13A1">
        <w:rPr>
          <w:vertAlign w:val="subscript"/>
        </w:rPr>
        <w:t>d</w:t>
      </w:r>
      <w:r>
        <w:t xml:space="preserve"> = 2.5</w:t>
      </w:r>
    </w:p>
    <w:p w14:paraId="024FAFE1" w14:textId="77777777" w:rsidR="000849FC" w:rsidRDefault="000849FC" w:rsidP="000849FC">
      <w:pPr>
        <w:pStyle w:val="Heading4"/>
      </w:pPr>
      <w:r>
        <w:t>Selected analysis procedure</w:t>
      </w:r>
    </w:p>
    <w:p w14:paraId="461B0A47" w14:textId="77777777" w:rsidR="000849FC" w:rsidRPr="00415C7E" w:rsidRDefault="000849FC" w:rsidP="000849FC">
      <w:r>
        <w:t xml:space="preserve">ASCE 7-16, Subsection 15.1.3, “Structural analysis procedure selection” states: “Nonbuilding structures that are not similar to buildings shall be designed using the equivalent lateral force </w:t>
      </w:r>
      <w:r>
        <w:lastRenderedPageBreak/>
        <w:t>procedure in accordance with Section 12.8, the linear dynamic analysis procedures in accordance with Section 12.9, the nonlinear response history analysis procedure in accordance with Chapter 16, or the procedure prescribed in the specific reference document.” We have opted in this analysis to use the Equivalent Lateral Force (ELF) procedure.</w:t>
      </w:r>
    </w:p>
    <w:p w14:paraId="166620D6" w14:textId="77777777" w:rsidR="000849FC" w:rsidRPr="00D462BC" w:rsidRDefault="000849FC" w:rsidP="000849FC">
      <w:r>
        <w:t>The Equivalent Lateral Force (ELF) procedure for evaluating the response to seismic loading, is permitted by ASCE 7-16, section 12.6 for a Seismic Design Category D structure which has no structural irregularities and does not exceed 160 ft. in height.</w:t>
      </w:r>
    </w:p>
    <w:p w14:paraId="67067075" w14:textId="77777777" w:rsidR="000849FC" w:rsidRDefault="000849FC" w:rsidP="000849FC">
      <w:pPr>
        <w:pStyle w:val="Heading4"/>
      </w:pPr>
      <w:r>
        <w:t>Risk category</w:t>
      </w:r>
    </w:p>
    <w:p w14:paraId="7D15139D" w14:textId="77777777" w:rsidR="000849FC" w:rsidRDefault="000849FC" w:rsidP="000849FC">
      <w:r>
        <w:t>In ASCE 7-16, Table 1.5-1, Risk Category III is defined as: “Buildings and other structures, the failure of which could pose a substantial risk to human life”. Based on the possibility of collapse onto personnel in the vicinity of the FCT this seems an appropriate risk designation.</w:t>
      </w:r>
    </w:p>
    <w:p w14:paraId="2C9E6972" w14:textId="77777777" w:rsidR="000849FC" w:rsidRDefault="000849FC" w:rsidP="000849FC">
      <w:r>
        <w:t>From Table 1.5-2, the Seismic Importance Factor, I</w:t>
      </w:r>
      <w:r w:rsidRPr="001F5F88">
        <w:rPr>
          <w:vertAlign w:val="subscript"/>
        </w:rPr>
        <w:t>e</w:t>
      </w:r>
      <w:r>
        <w:t xml:space="preserve"> = 1.25</w:t>
      </w:r>
    </w:p>
    <w:p w14:paraId="543FF42F" w14:textId="77777777" w:rsidR="000849FC" w:rsidRDefault="000849FC" w:rsidP="000849FC">
      <w:pPr>
        <w:pStyle w:val="Heading4"/>
      </w:pPr>
      <w:r>
        <w:t>Site classification</w:t>
      </w:r>
    </w:p>
    <w:p w14:paraId="34878AA3" w14:textId="0CD56079" w:rsidR="000849FC" w:rsidRDefault="000849FC" w:rsidP="000849FC">
      <w:r>
        <w:t xml:space="preserve">Based on the shear wave velocity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w:r>
        <w:t xml:space="preserve"> = 890 fps reported for the surficial layer (13 to 20 ft thick) in section 4.3.3 of </w:t>
      </w:r>
      <w:hyperlink r:id="rId24" w:history="1">
        <w:r w:rsidRPr="00C211C2">
          <w:rPr>
            <w:rStyle w:val="Hyperlink"/>
          </w:rPr>
          <w:t>LIGO-C930032-x0</w:t>
        </w:r>
      </w:hyperlink>
      <w:r>
        <w:t xml:space="preserve">, the LHO site classification is D (stiff soil) per Table 20.3-1 of standard ASCE 7-16. Based on the shear wave velocity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s</m:t>
            </m:r>
          </m:sub>
        </m:sSub>
      </m:oMath>
      <w:r>
        <w:t xml:space="preserve"> = 700 fps on pg. 11 of </w:t>
      </w:r>
      <w:hyperlink r:id="rId25" w:history="1">
        <w:r w:rsidRPr="00F54455">
          <w:rPr>
            <w:rStyle w:val="Hyperlink"/>
          </w:rPr>
          <w:t>LIGO-C940056</w:t>
        </w:r>
      </w:hyperlink>
      <w:r>
        <w:t>, the LLO site classification is also D (stiff soil).</w:t>
      </w:r>
    </w:p>
    <w:p w14:paraId="4EDE67B4" w14:textId="1FE708D4" w:rsidR="000849FC" w:rsidRDefault="000849FC" w:rsidP="000849FC">
      <w:r>
        <w:t>USGS web tool (</w:t>
      </w:r>
      <w:hyperlink r:id="rId26" w:history="1">
        <w:r w:rsidRPr="00C211C2">
          <w:rPr>
            <w:rStyle w:val="Hyperlink"/>
          </w:rPr>
          <w:t>https://doi.org/10.5066/F7NK3C76</w:t>
        </w:r>
      </w:hyperlink>
      <w:r>
        <w:t xml:space="preserve">) was used to determine the mapped values for the LIGO Hanford Observatory (LHO) site (see </w:t>
      </w:r>
      <w:r>
        <w:fldChar w:fldCharType="begin"/>
      </w:r>
      <w:r>
        <w:instrText xml:space="preserve"> REF _Ref46571489 \h </w:instrText>
      </w:r>
      <w:r>
        <w:fldChar w:fldCharType="separate"/>
      </w:r>
      <w:r w:rsidR="00102C1B">
        <w:t xml:space="preserve">Table </w:t>
      </w:r>
      <w:r w:rsidR="00102C1B">
        <w:rPr>
          <w:noProof/>
        </w:rPr>
        <w:t>4</w:t>
      </w:r>
      <w:r>
        <w:fldChar w:fldCharType="end"/>
      </w:r>
      <w:r>
        <w:t xml:space="preserve">) and the LIGO Livingston Observatory (LLO) site (see </w:t>
      </w:r>
      <w:r>
        <w:fldChar w:fldCharType="begin"/>
      </w:r>
      <w:r>
        <w:instrText xml:space="preserve"> REF _Ref46571498 \h </w:instrText>
      </w:r>
      <w:r>
        <w:fldChar w:fldCharType="separate"/>
      </w:r>
      <w:r w:rsidR="00102C1B">
        <w:t xml:space="preserve">Table </w:t>
      </w:r>
      <w:r w:rsidR="00102C1B">
        <w:rPr>
          <w:noProof/>
        </w:rPr>
        <w:t>5</w:t>
      </w:r>
      <w:r>
        <w:fldChar w:fldCharType="end"/>
      </w:r>
      <w:r>
        <w:t>). Not unexpectedly the seismic design parameters are more severe for the Washington site and are used for the seismic load calculations and FCT design verification.</w:t>
      </w:r>
    </w:p>
    <w:p w14:paraId="453D5216" w14:textId="72619B40" w:rsidR="000849FC" w:rsidRDefault="000849FC" w:rsidP="000849FC">
      <w:pPr>
        <w:pStyle w:val="Caption"/>
        <w:keepNext/>
      </w:pPr>
      <w:bookmarkStart w:id="28" w:name="_Ref46571489"/>
      <w:bookmarkStart w:id="29" w:name="_Toc50585537"/>
      <w:r>
        <w:lastRenderedPageBreak/>
        <w:t xml:space="preserve">Table </w:t>
      </w:r>
      <w:r w:rsidR="00EE65F7">
        <w:fldChar w:fldCharType="begin"/>
      </w:r>
      <w:r w:rsidR="00EE65F7">
        <w:instrText xml:space="preserve"> SEQ Table \* ARABIC </w:instrText>
      </w:r>
      <w:r w:rsidR="00EE65F7">
        <w:fldChar w:fldCharType="separate"/>
      </w:r>
      <w:r w:rsidR="00102C1B">
        <w:rPr>
          <w:noProof/>
        </w:rPr>
        <w:t>4</w:t>
      </w:r>
      <w:r w:rsidR="00EE65F7">
        <w:rPr>
          <w:noProof/>
        </w:rPr>
        <w:fldChar w:fldCharType="end"/>
      </w:r>
      <w:bookmarkEnd w:id="28"/>
      <w:r>
        <w:t xml:space="preserve">  LHO Seismic Mapped Parameters</w:t>
      </w:r>
      <w:bookmarkEnd w:id="29"/>
    </w:p>
    <w:p w14:paraId="5C82ECD5" w14:textId="77777777" w:rsidR="000849FC" w:rsidRDefault="000849FC" w:rsidP="000849FC">
      <w:r>
        <w:rPr>
          <w:noProof/>
        </w:rPr>
        <w:drawing>
          <wp:inline distT="0" distB="0" distL="0" distR="0" wp14:anchorId="04501BC3" wp14:editId="1045C67C">
            <wp:extent cx="6089650" cy="778129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9650" cy="7781290"/>
                    </a:xfrm>
                    <a:prstGeom prst="rect">
                      <a:avLst/>
                    </a:prstGeom>
                  </pic:spPr>
                </pic:pic>
              </a:graphicData>
            </a:graphic>
          </wp:inline>
        </w:drawing>
      </w:r>
    </w:p>
    <w:p w14:paraId="25C4953A" w14:textId="0491B7F8" w:rsidR="000849FC" w:rsidRDefault="000849FC" w:rsidP="000849FC">
      <w:pPr>
        <w:pStyle w:val="Caption"/>
        <w:keepNext/>
      </w:pPr>
      <w:bookmarkStart w:id="30" w:name="_Ref46571498"/>
      <w:bookmarkStart w:id="31" w:name="_Toc50585538"/>
      <w:r>
        <w:lastRenderedPageBreak/>
        <w:t xml:space="preserve">Table </w:t>
      </w:r>
      <w:r w:rsidR="00EE65F7">
        <w:fldChar w:fldCharType="begin"/>
      </w:r>
      <w:r w:rsidR="00EE65F7">
        <w:instrText xml:space="preserve"> SEQ Table \* ARABIC </w:instrText>
      </w:r>
      <w:r w:rsidR="00EE65F7">
        <w:fldChar w:fldCharType="separate"/>
      </w:r>
      <w:r w:rsidR="00102C1B">
        <w:rPr>
          <w:noProof/>
        </w:rPr>
        <w:t>5</w:t>
      </w:r>
      <w:r w:rsidR="00EE65F7">
        <w:rPr>
          <w:noProof/>
        </w:rPr>
        <w:fldChar w:fldCharType="end"/>
      </w:r>
      <w:bookmarkEnd w:id="30"/>
      <w:r>
        <w:t xml:space="preserve">  LLO Seismic Mapped Parameters</w:t>
      </w:r>
      <w:bookmarkEnd w:id="31"/>
    </w:p>
    <w:p w14:paraId="019D907D" w14:textId="77777777" w:rsidR="000849FC" w:rsidRPr="00BA638F" w:rsidRDefault="000849FC" w:rsidP="000849FC">
      <w:r>
        <w:rPr>
          <w:noProof/>
        </w:rPr>
        <w:drawing>
          <wp:inline distT="0" distB="0" distL="0" distR="0" wp14:anchorId="5FDC30D4" wp14:editId="1D4A0E2F">
            <wp:extent cx="5969000" cy="784061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1824" cy="7844323"/>
                    </a:xfrm>
                    <a:prstGeom prst="rect">
                      <a:avLst/>
                    </a:prstGeom>
                  </pic:spPr>
                </pic:pic>
              </a:graphicData>
            </a:graphic>
          </wp:inline>
        </w:drawing>
      </w:r>
    </w:p>
    <w:p w14:paraId="14BCCAA7" w14:textId="77777777" w:rsidR="000849FC" w:rsidRDefault="000849FC" w:rsidP="000849FC">
      <w:pPr>
        <w:pStyle w:val="Heading4"/>
      </w:pPr>
      <w:r>
        <w:lastRenderedPageBreak/>
        <w:t>Seismic Design category</w:t>
      </w:r>
    </w:p>
    <w:p w14:paraId="29B727D6" w14:textId="5C4294B4" w:rsidR="000849FC" w:rsidRDefault="000849FC" w:rsidP="000849FC">
      <w:r>
        <w:t>The “seismic design category” is assigned in accordance with ASCE 7-16 section 11.6 based on the “risk category” and the design spectral response acceleration parameters, S</w:t>
      </w:r>
      <w:r w:rsidRPr="00E539EA">
        <w:rPr>
          <w:vertAlign w:val="subscript"/>
        </w:rPr>
        <w:t>DS</w:t>
      </w:r>
      <w:r>
        <w:t xml:space="preserve"> and S</w:t>
      </w:r>
      <w:r w:rsidRPr="00E539EA">
        <w:rPr>
          <w:vertAlign w:val="subscript"/>
        </w:rPr>
        <w:t>D1</w:t>
      </w:r>
      <w:r>
        <w:t xml:space="preserve">, from section 11.4.5 (and given in the USGS web tool output in the </w:t>
      </w:r>
      <w:r>
        <w:fldChar w:fldCharType="begin"/>
      </w:r>
      <w:r>
        <w:instrText xml:space="preserve"> REF _Ref46571489 \h </w:instrText>
      </w:r>
      <w:r>
        <w:fldChar w:fldCharType="separate"/>
      </w:r>
      <w:r w:rsidR="00102C1B">
        <w:t xml:space="preserve">Table </w:t>
      </w:r>
      <w:r w:rsidR="00102C1B">
        <w:rPr>
          <w:noProof/>
        </w:rPr>
        <w:t>4</w:t>
      </w:r>
      <w:r>
        <w:fldChar w:fldCharType="end"/>
      </w:r>
      <w:r>
        <w:t xml:space="preserve"> above for LHO). Based on S</w:t>
      </w:r>
      <w:r w:rsidRPr="0000381E">
        <w:rPr>
          <w:vertAlign w:val="subscript"/>
        </w:rPr>
        <w:t>DS</w:t>
      </w:r>
      <w:r>
        <w:t xml:space="preserve"> and risk category III, the seismic design category would be C. However based on S</w:t>
      </w:r>
      <w:r w:rsidRPr="0000381E">
        <w:rPr>
          <w:vertAlign w:val="subscript"/>
        </w:rPr>
        <w:t>D1</w:t>
      </w:r>
      <w:r>
        <w:t xml:space="preserve"> and risk category III, the seismic design category would be D. Per ASCE 7-16 section 11.6 the structure is assigned the more severe seismic design category, irrespective of the </w:t>
      </w:r>
      <w:r w:rsidRPr="00A345B5">
        <w:t>fundamental period of vibration of the structure</w:t>
      </w:r>
      <w:r>
        <w:t>. Consequently the FCT and supports are assigned a Seismic Design Category of D.</w:t>
      </w:r>
    </w:p>
    <w:p w14:paraId="72800070" w14:textId="77777777" w:rsidR="000849FC" w:rsidRDefault="000849FC" w:rsidP="000849FC">
      <w:pPr>
        <w:pStyle w:val="Heading4"/>
      </w:pPr>
      <w:r>
        <w:t>ELF</w:t>
      </w:r>
    </w:p>
    <w:p w14:paraId="339DBA05" w14:textId="77777777" w:rsidR="000849FC" w:rsidRDefault="000849FC" w:rsidP="000849FC">
      <w:r>
        <w:t>The Equivalent Lateral Force (ELF) procedure (ASCE 7-16, section 12.8) does not consider the reduced seismic response of structures with natural resonance periods shorter than the period range for which the response is a peak (as shown in Figure C12.8-1 of ASCE 7-16). The reason cited, for not reducing the response for short period structures, is that</w:t>
      </w:r>
      <w:r w:rsidRPr="003953E1">
        <w:t xml:space="preserve"> </w:t>
      </w:r>
      <w:r>
        <w:t>that simple reduction of the response spectrum by (1∕R) in the short-period region would exaggerate inelastic effects. The guidance given in the “</w:t>
      </w:r>
      <w:r w:rsidRPr="007450D9">
        <w:t>Generic Requirements &amp; Standards for Detector Subsystems</w:t>
      </w:r>
      <w:r>
        <w:t>” document (section 8.2.1.2, Figure 4 of LIGO-E010613-v2) includes this short period reduction but stipulates that R (or R</w:t>
      </w:r>
      <w:r w:rsidRPr="0000381E">
        <w:rPr>
          <w:vertAlign w:val="subscript"/>
        </w:rPr>
        <w:t>w</w:t>
      </w:r>
      <w:r>
        <w:t xml:space="preserve"> per the old ASCE 7-88) is set equal to one.</w:t>
      </w:r>
    </w:p>
    <w:tbl>
      <w:tblPr>
        <w:tblStyle w:val="TableGrid"/>
        <w:tblW w:w="0" w:type="auto"/>
        <w:tblLook w:val="04A0" w:firstRow="1" w:lastRow="0" w:firstColumn="1" w:lastColumn="0" w:noHBand="0" w:noVBand="1"/>
      </w:tblPr>
      <w:tblGrid>
        <w:gridCol w:w="4790"/>
        <w:gridCol w:w="4790"/>
      </w:tblGrid>
      <w:tr w:rsidR="000849FC" w14:paraId="5B94C235" w14:textId="77777777" w:rsidTr="0000381E">
        <w:tc>
          <w:tcPr>
            <w:tcW w:w="4790" w:type="dxa"/>
          </w:tcPr>
          <w:p w14:paraId="44F60E49" w14:textId="77777777" w:rsidR="000849FC" w:rsidRDefault="000849FC" w:rsidP="003953E1">
            <w:r>
              <w:rPr>
                <w:noProof/>
              </w:rPr>
              <w:drawing>
                <wp:inline distT="0" distB="0" distL="0" distR="0" wp14:anchorId="3D0EDA65" wp14:editId="7DDD2CCE">
                  <wp:extent cx="2301763" cy="2027767"/>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03"/>
                          <a:stretch/>
                        </pic:blipFill>
                        <pic:spPr bwMode="auto">
                          <a:xfrm>
                            <a:off x="0" y="0"/>
                            <a:ext cx="2307829" cy="2033111"/>
                          </a:xfrm>
                          <a:prstGeom prst="rect">
                            <a:avLst/>
                          </a:prstGeom>
                          <a:ln>
                            <a:noFill/>
                          </a:ln>
                          <a:extLst>
                            <a:ext uri="{53640926-AAD7-44D8-BBD7-CCE9431645EC}">
                              <a14:shadowObscured xmlns:a14="http://schemas.microsoft.com/office/drawing/2010/main"/>
                            </a:ext>
                          </a:extLst>
                        </pic:spPr>
                      </pic:pic>
                    </a:graphicData>
                  </a:graphic>
                </wp:inline>
              </w:drawing>
            </w:r>
          </w:p>
          <w:p w14:paraId="2E8ED066" w14:textId="77777777" w:rsidR="000849FC" w:rsidRPr="0000381E" w:rsidRDefault="000849FC" w:rsidP="00F53618">
            <w:pPr>
              <w:jc w:val="left"/>
              <w:rPr>
                <w:sz w:val="20"/>
              </w:rPr>
            </w:pPr>
            <w:r w:rsidRPr="0000381E">
              <w:rPr>
                <w:sz w:val="20"/>
              </w:rPr>
              <w:t>ASCE 7-16 Figure C12.8-1</w:t>
            </w:r>
            <w:r>
              <w:rPr>
                <w:sz w:val="20"/>
              </w:rPr>
              <w:t>:</w:t>
            </w:r>
            <w:r w:rsidRPr="0000381E">
              <w:rPr>
                <w:sz w:val="20"/>
              </w:rPr>
              <w:t xml:space="preserve"> Seismic Response Coefficient versus Period</w:t>
            </w:r>
            <w:r>
              <w:rPr>
                <w:sz w:val="20"/>
              </w:rPr>
              <w:t xml:space="preserve"> </w:t>
            </w:r>
            <w:r>
              <w:rPr>
                <w:sz w:val="20"/>
              </w:rPr>
              <w:br/>
              <w:t>(for LHO, T</w:t>
            </w:r>
            <w:r w:rsidRPr="00F53618">
              <w:rPr>
                <w:sz w:val="20"/>
                <w:vertAlign w:val="subscript"/>
              </w:rPr>
              <w:t>0</w:t>
            </w:r>
            <w:r>
              <w:rPr>
                <w:sz w:val="20"/>
              </w:rPr>
              <w:t xml:space="preserve"> = 0.121 sec, T</w:t>
            </w:r>
            <w:r w:rsidRPr="00F53618">
              <w:rPr>
                <w:sz w:val="20"/>
                <w:vertAlign w:val="subscript"/>
              </w:rPr>
              <w:t>S</w:t>
            </w:r>
            <w:r>
              <w:rPr>
                <w:sz w:val="20"/>
              </w:rPr>
              <w:t xml:space="preserve"> = 0.605 sec)</w:t>
            </w:r>
          </w:p>
        </w:tc>
        <w:tc>
          <w:tcPr>
            <w:tcW w:w="4790" w:type="dxa"/>
          </w:tcPr>
          <w:p w14:paraId="37DDB6A4" w14:textId="77777777" w:rsidR="000849FC" w:rsidRDefault="000849FC" w:rsidP="003953E1">
            <w:r w:rsidRPr="00C977BF">
              <w:rPr>
                <w:noProof/>
              </w:rPr>
              <w:drawing>
                <wp:inline distT="0" distB="0" distL="0" distR="0" wp14:anchorId="290CCC0E" wp14:editId="6AFCFA3E">
                  <wp:extent cx="2887133" cy="1959588"/>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2082" cy="1969734"/>
                          </a:xfrm>
                          <a:prstGeom prst="rect">
                            <a:avLst/>
                          </a:prstGeom>
                          <a:noFill/>
                          <a:ln>
                            <a:noFill/>
                          </a:ln>
                        </pic:spPr>
                      </pic:pic>
                    </a:graphicData>
                  </a:graphic>
                </wp:inline>
              </w:drawing>
            </w:r>
          </w:p>
          <w:p w14:paraId="4FB48665" w14:textId="77777777" w:rsidR="000849FC" w:rsidRPr="00F53618" w:rsidRDefault="000849FC" w:rsidP="00F53618">
            <w:pPr>
              <w:jc w:val="left"/>
              <w:rPr>
                <w:vertAlign w:val="subscript"/>
              </w:rPr>
            </w:pPr>
            <w:r w:rsidRPr="00E772C4">
              <w:rPr>
                <w:sz w:val="20"/>
              </w:rPr>
              <w:t>LIGO</w:t>
            </w:r>
            <w:r>
              <w:rPr>
                <w:sz w:val="20"/>
              </w:rPr>
              <w:t>-E010613-v2, Figure 4: Elastic Design Response Spectrum replotted vs period instead of frequency</w:t>
            </w:r>
            <w:r>
              <w:rPr>
                <w:sz w:val="20"/>
              </w:rPr>
              <w:br/>
              <w:t>(for the FTC the fundamental period, T</w:t>
            </w:r>
            <w:r w:rsidRPr="00F53618">
              <w:rPr>
                <w:sz w:val="20"/>
                <w:vertAlign w:val="subscript"/>
              </w:rPr>
              <w:t>a</w:t>
            </w:r>
            <w:r>
              <w:rPr>
                <w:sz w:val="20"/>
              </w:rPr>
              <w:t xml:space="preserve"> = 0.063 sec)</w:t>
            </w:r>
          </w:p>
        </w:tc>
      </w:tr>
    </w:tbl>
    <w:p w14:paraId="74EB4C35" w14:textId="2E9F870D" w:rsidR="000849FC" w:rsidRDefault="000849FC" w:rsidP="000849FC">
      <w:pPr>
        <w:pStyle w:val="Caption"/>
      </w:pPr>
      <w:bookmarkStart w:id="32" w:name="_Toc50585544"/>
      <w:r>
        <w:t xml:space="preserve">Figure </w:t>
      </w:r>
      <w:r w:rsidR="00EE65F7">
        <w:fldChar w:fldCharType="begin"/>
      </w:r>
      <w:r w:rsidR="00EE65F7">
        <w:instrText xml:space="preserve"> SEQ Figure \* ARABIC </w:instrText>
      </w:r>
      <w:r w:rsidR="00EE65F7">
        <w:fldChar w:fldCharType="separate"/>
      </w:r>
      <w:r w:rsidR="00102C1B">
        <w:rPr>
          <w:noProof/>
        </w:rPr>
        <w:t>3</w:t>
      </w:r>
      <w:r w:rsidR="00EE65F7">
        <w:rPr>
          <w:noProof/>
        </w:rPr>
        <w:fldChar w:fldCharType="end"/>
      </w:r>
      <w:r>
        <w:t xml:space="preserve">  Comparison of ASCE 7-16 Seismic Response Coefficient and LIGO-E010613-v2</w:t>
      </w:r>
      <w:bookmarkEnd w:id="32"/>
    </w:p>
    <w:p w14:paraId="01D78F1C" w14:textId="77777777" w:rsidR="000849FC" w:rsidRDefault="000849FC" w:rsidP="000849FC">
      <w:r>
        <w:t>The seismic base shear force, V, is given in ASCE 7-16, section 12.8, Eqn. 12.8-1 as:</w:t>
      </w:r>
    </w:p>
    <w:p w14:paraId="4599D068" w14:textId="77777777" w:rsidR="000849FC" w:rsidRDefault="000849FC" w:rsidP="000849FC">
      <m:oMathPara>
        <m:oMath>
          <m:r>
            <w:rPr>
              <w:rFonts w:ascii="Cambria Math" w:hAnsi="Cambria Math"/>
            </w:rPr>
            <m:t>V=</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W</m:t>
          </m:r>
        </m:oMath>
      </m:oMathPara>
    </w:p>
    <w:p w14:paraId="38DCF835" w14:textId="77777777" w:rsidR="000849FC" w:rsidRDefault="000849FC" w:rsidP="000849FC">
      <w:r>
        <w:t>Where C</w:t>
      </w:r>
      <w:r w:rsidRPr="001F5F88">
        <w:rPr>
          <w:vertAlign w:val="subscript"/>
        </w:rPr>
        <w:t>s</w:t>
      </w:r>
      <w:r>
        <w:t xml:space="preserve"> = the seismic response coefficient and W is the effective seismic weight. For the FCT the effective seismic weight is equal to the dead load, or self weight. The seismic response coefficient is:</w:t>
      </w:r>
    </w:p>
    <w:p w14:paraId="102ACC3E" w14:textId="77777777" w:rsidR="000849FC" w:rsidRDefault="00BC6E36" w:rsidP="000849FC">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DS</m:t>
                  </m:r>
                </m:sub>
              </m:sSub>
            </m:num>
            <m:den>
              <m:d>
                <m:dPr>
                  <m:ctrlPr>
                    <w:rPr>
                      <w:rFonts w:ascii="Cambria Math" w:hAnsi="Cambria Math"/>
                      <w:i/>
                    </w:rPr>
                  </m:ctrlPr>
                </m:dPr>
                <m:e>
                  <m:f>
                    <m:fPr>
                      <m:type m:val="skw"/>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I</m:t>
                          </m:r>
                        </m:e>
                        <m:sub>
                          <m:r>
                            <w:rPr>
                              <w:rFonts w:ascii="Cambria Math" w:hAnsi="Cambria Math"/>
                            </w:rPr>
                            <m:t>e</m:t>
                          </m:r>
                        </m:sub>
                      </m:sSub>
                    </m:den>
                  </m:f>
                </m:e>
              </m:d>
            </m:den>
          </m:f>
          <m:r>
            <w:rPr>
              <w:rFonts w:ascii="Cambria Math" w:hAnsi="Cambria Math"/>
            </w:rPr>
            <m:t>= 0.25</m:t>
          </m:r>
        </m:oMath>
      </m:oMathPara>
    </w:p>
    <w:p w14:paraId="54EA28D6" w14:textId="77777777" w:rsidR="000849FC" w:rsidRDefault="000849FC" w:rsidP="000849FC">
      <w:r>
        <w:lastRenderedPageBreak/>
        <w:t>This value for Cs does not exceed limitations posed in ASCE 7-16, section 12.8.1. The horizontal seismic force is then 0.25 g.</w:t>
      </w:r>
    </w:p>
    <w:p w14:paraId="1643721B" w14:textId="77777777" w:rsidR="009A3670" w:rsidRDefault="009A3670" w:rsidP="006D5FF0">
      <w:pPr>
        <w:pStyle w:val="Heading2"/>
      </w:pPr>
      <w:bookmarkStart w:id="33" w:name="_Toc50585523"/>
      <w:r>
        <w:t>Dead Weight Load</w:t>
      </w:r>
      <w:bookmarkEnd w:id="33"/>
    </w:p>
    <w:p w14:paraId="4443A20C" w14:textId="3A4FBC1E" w:rsidR="00D93934" w:rsidRDefault="000A34BC" w:rsidP="009A3670">
      <w:r>
        <w:t>A</w:t>
      </w:r>
      <w:r w:rsidR="00AE46BF">
        <w:t>n Ansys</w:t>
      </w:r>
      <w:r w:rsidR="00945DEC">
        <w:t xml:space="preserve"> finite element analysis </w:t>
      </w:r>
      <w:r w:rsidR="0028011A">
        <w:t xml:space="preserve">(see section </w:t>
      </w:r>
      <w:r>
        <w:fldChar w:fldCharType="begin"/>
      </w:r>
      <w:r>
        <w:instrText xml:space="preserve"> REF _Ref45475471 \r \h </w:instrText>
      </w:r>
      <w:r>
        <w:fldChar w:fldCharType="separate"/>
      </w:r>
      <w:r w:rsidR="00102C1B">
        <w:t>0</w:t>
      </w:r>
      <w:r>
        <w:fldChar w:fldCharType="end"/>
      </w:r>
      <w:r w:rsidR="0028011A">
        <w:t xml:space="preserve">) </w:t>
      </w:r>
      <w:r w:rsidR="00AE46BF">
        <w:t xml:space="preserve">was performed to determine the </w:t>
      </w:r>
      <w:r>
        <w:t xml:space="preserve">dead weight </w:t>
      </w:r>
      <w:r w:rsidR="00AE46BF">
        <w:t>reaction loads</w:t>
      </w:r>
      <w:r w:rsidR="00E40D3E">
        <w:t xml:space="preserve"> </w:t>
      </w:r>
      <w:r>
        <w:t>at the base plates of the support stands, which were defined to have a fixed boundary condition. The bellows (expansion joint) was modeled as a multi-degree-of-freedom spring between the conflats and cuffs of the bellows assembly. Discrete masses were added to the finite element model of the FCT and supports for the gate valve (51 kg), bellows convolutions (2.18 kg) and a fully loaded 6-way-cross (132.5 kg total mass</w:t>
      </w:r>
      <w:r w:rsidR="008C39E5">
        <w:t xml:space="preserve">; see </w:t>
      </w:r>
      <w:r w:rsidR="008C39E5">
        <w:fldChar w:fldCharType="begin"/>
      </w:r>
      <w:r w:rsidR="008C39E5">
        <w:instrText xml:space="preserve"> REF _Ref46577930 \h </w:instrText>
      </w:r>
      <w:r w:rsidR="008C39E5">
        <w:fldChar w:fldCharType="separate"/>
      </w:r>
      <w:r w:rsidR="00102C1B">
        <w:t xml:space="preserve">Figure </w:t>
      </w:r>
      <w:r w:rsidR="00102C1B">
        <w:rPr>
          <w:noProof/>
        </w:rPr>
        <w:t>4</w:t>
      </w:r>
      <w:r w:rsidR="008C39E5">
        <w:fldChar w:fldCharType="end"/>
      </w:r>
      <w:r>
        <w:t>)</w:t>
      </w:r>
      <w:r w:rsidR="00065296">
        <w:t>.</w:t>
      </w:r>
      <w:r w:rsidR="00D93934">
        <w:t xml:space="preserve"> See the spreadsheet filed at LIGO-T2000317-v1 for list of equipment attached to the 6-way cross.</w:t>
      </w:r>
    </w:p>
    <w:p w14:paraId="15521CCC" w14:textId="3281B36E" w:rsidR="37A9E02B" w:rsidRDefault="37A9E02B" w:rsidP="008C39E5">
      <w:pPr>
        <w:jc w:val="center"/>
      </w:pPr>
      <w:r>
        <w:rPr>
          <w:noProof/>
        </w:rPr>
        <w:drawing>
          <wp:inline distT="0" distB="0" distL="0" distR="0" wp14:anchorId="379CCFCA" wp14:editId="6A96BEC8">
            <wp:extent cx="4728634" cy="4958034"/>
            <wp:effectExtent l="0" t="0" r="0" b="0"/>
            <wp:docPr id="689680721" name="Picture 68968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30511" cy="4960002"/>
                    </a:xfrm>
                    <a:prstGeom prst="rect">
                      <a:avLst/>
                    </a:prstGeom>
                  </pic:spPr>
                </pic:pic>
              </a:graphicData>
            </a:graphic>
          </wp:inline>
        </w:drawing>
      </w:r>
    </w:p>
    <w:p w14:paraId="34CD6199" w14:textId="41842159" w:rsidR="008C39E5" w:rsidRDefault="008C39E5" w:rsidP="008C39E5">
      <w:pPr>
        <w:pStyle w:val="Caption"/>
        <w:jc w:val="center"/>
      </w:pPr>
      <w:bookmarkStart w:id="34" w:name="_Ref46577930"/>
      <w:bookmarkStart w:id="35" w:name="_Toc50585545"/>
      <w:r>
        <w:t xml:space="preserve">Figure </w:t>
      </w:r>
      <w:r w:rsidR="00EE65F7">
        <w:fldChar w:fldCharType="begin"/>
      </w:r>
      <w:r w:rsidR="00EE65F7">
        <w:instrText xml:space="preserve"> SEQ Figure \* ARABIC </w:instrText>
      </w:r>
      <w:r w:rsidR="00EE65F7">
        <w:fldChar w:fldCharType="separate"/>
      </w:r>
      <w:r w:rsidR="00102C1B">
        <w:rPr>
          <w:noProof/>
        </w:rPr>
        <w:t>4</w:t>
      </w:r>
      <w:r w:rsidR="00EE65F7">
        <w:rPr>
          <w:noProof/>
        </w:rPr>
        <w:fldChar w:fldCharType="end"/>
      </w:r>
      <w:bookmarkEnd w:id="34"/>
      <w:r>
        <w:t xml:space="preserve">  Vacuum equipment mounted on the 6-way cross</w:t>
      </w:r>
      <w:bookmarkEnd w:id="35"/>
    </w:p>
    <w:p w14:paraId="062889E9" w14:textId="77777777" w:rsidR="00D10BF5" w:rsidRDefault="00D10BF5" w:rsidP="00D10BF5">
      <w:pPr>
        <w:pStyle w:val="Heading2"/>
      </w:pPr>
      <w:bookmarkStart w:id="36" w:name="_Toc50585524"/>
      <w:r>
        <w:t>Vacuum Load</w:t>
      </w:r>
      <w:bookmarkEnd w:id="36"/>
    </w:p>
    <w:p w14:paraId="74CBB228" w14:textId="4BA6BA20" w:rsidR="00A96A07" w:rsidRDefault="00A96A07" w:rsidP="00A96A07">
      <w:r>
        <w:t xml:space="preserve">There are a few gate valve positions defined along the length of the FCT in order to permit sections of the FCT to be vented and serviced if/as necessary. There are two of these gate valves within the </w:t>
      </w:r>
      <w:r>
        <w:lastRenderedPageBreak/>
        <w:t>FCT Enclosure (FCTE).These gate valves can be arbitrarily closed or opened with an atmospheric pressure difference in either direction.</w:t>
      </w:r>
    </w:p>
    <w:p w14:paraId="457EA4B0" w14:textId="2833266B" w:rsidR="00A96A07" w:rsidRDefault="00A96A07" w:rsidP="00A96A07">
      <w:r>
        <w:t>The bakeout will only occur in a section which has been pumped down to a vacuum state.</w:t>
      </w:r>
    </w:p>
    <w:p w14:paraId="4D55AF36" w14:textId="5A31569D" w:rsidR="00A96A07" w:rsidRDefault="00A96A07" w:rsidP="00245B80">
      <w:r>
        <w:t xml:space="preserve">The vacuum load is principally reacted by the fixed supports which have an adjacent gate valve. The fixed support load </w:t>
      </w:r>
      <w:r w:rsidR="00E363B2">
        <w:t>is</w:t>
      </w:r>
      <w:r>
        <w:t xml:space="preserve"> simply equal to the tube interior area times the maximum atmospheric pressure.</w:t>
      </w:r>
      <w:r w:rsidR="00E363B2">
        <w:t xml:space="preserve"> </w:t>
      </w:r>
      <w:r>
        <w:t>Due to the sliding (guided) boundary condition at each o</w:t>
      </w:r>
      <w:r w:rsidR="00E363B2">
        <w:t>f the guided supports, a frictional force associated with the vacuum load can be imposed on the guided supports as well.</w:t>
      </w:r>
      <w:r w:rsidR="00B44B9E">
        <w:t xml:space="preserve"> The coefficient of friction for the sliding (or rolling) contact</w:t>
      </w:r>
      <w:r w:rsidR="00B44B9E">
        <w:rPr>
          <w:rStyle w:val="FootnoteReference"/>
        </w:rPr>
        <w:footnoteReference w:id="9"/>
      </w:r>
      <w:r w:rsidR="00B44B9E">
        <w:t xml:space="preserve"> of the Alternative Guided (AG) Supports is conservatively</w:t>
      </w:r>
      <w:r w:rsidR="00245B80">
        <w:rPr>
          <w:rStyle w:val="FootnoteReference"/>
        </w:rPr>
        <w:footnoteReference w:id="10"/>
      </w:r>
      <w:r w:rsidR="00B44B9E">
        <w:t xml:space="preserve"> assumed to be 0.35</w:t>
      </w:r>
      <w:r w:rsidR="002E0E9E">
        <w:t xml:space="preserve"> for the load analysis</w:t>
      </w:r>
      <w:r w:rsidR="00B44B9E">
        <w:t xml:space="preserve">. </w:t>
      </w:r>
      <w:r w:rsidR="002E0E9E">
        <w:t>However, in order to minimize the magnitude of energy released in stick/slip motion due to diurnal temperature cycling we wish to minimize the coefficient of friction. Values as low as 0.15 are possible with graphite plates.</w:t>
      </w:r>
    </w:p>
    <w:p w14:paraId="36CC3945" w14:textId="77777777" w:rsidR="000849FC" w:rsidRDefault="000849FC" w:rsidP="000849FC">
      <w:pPr>
        <w:pStyle w:val="Heading2"/>
      </w:pPr>
      <w:bookmarkStart w:id="37" w:name="_Toc50585525"/>
      <w:r>
        <w:t>Expansion Joint forces</w:t>
      </w:r>
      <w:bookmarkEnd w:id="37"/>
    </w:p>
    <w:p w14:paraId="53E858DA" w14:textId="4304B4AD" w:rsidR="00B04682" w:rsidRDefault="000849FC" w:rsidP="00B04682">
      <w:pPr>
        <w:jc w:val="left"/>
      </w:pPr>
      <w:r>
        <w:t xml:space="preserve">The BT calculations in </w:t>
      </w:r>
      <w:hyperlink r:id="rId32">
        <w:r w:rsidRPr="5BFA46C7">
          <w:rPr>
            <w:rStyle w:val="Hyperlink"/>
            <w:szCs w:val="24"/>
          </w:rPr>
          <w:t>T940074</w:t>
        </w:r>
      </w:hyperlink>
      <w:r>
        <w:t xml:space="preserve"> use a spring rate variation of 10%. While the FCT bellows may not have the same spread in spring rates, we </w:t>
      </w:r>
      <w:r w:rsidR="00B04682" w:rsidRPr="00B04682">
        <w:t>c</w:t>
      </w:r>
      <w:r w:rsidRPr="00B04682">
        <w:t>ould</w:t>
      </w:r>
      <w:r w:rsidRPr="00B04682">
        <w:rPr>
          <w:rStyle w:val="FootnoteReference"/>
        </w:rPr>
        <w:footnoteReference w:id="11"/>
      </w:r>
      <w:r>
        <w:t xml:space="preserve"> assume they will until better information is available.</w:t>
      </w:r>
      <w:r w:rsidR="00B04682" w:rsidRPr="00B04682">
        <w:t xml:space="preserve"> </w:t>
      </w:r>
      <w:r w:rsidR="00B04682">
        <w:t>However, the load factors used in the LRFD approach of ASCE 7-16 should cover the spring rate uncertainty.</w:t>
      </w:r>
    </w:p>
    <w:p w14:paraId="781285FF" w14:textId="23F97564" w:rsidR="008C39E5" w:rsidRDefault="008C39E5" w:rsidP="008C39E5">
      <w:pPr>
        <w:jc w:val="left"/>
      </w:pPr>
      <w:r>
        <w:t>The expansion joint manufacturer provided a design with a reference axial spring rate of 191 lbf/in. The EJMA guidelines (6</w:t>
      </w:r>
      <w:r w:rsidRPr="00F378FB">
        <w:rPr>
          <w:vertAlign w:val="superscript"/>
        </w:rPr>
        <w:t>th</w:t>
      </w:r>
      <w:r>
        <w:t xml:space="preserve"> ed. 1993; see also LIGO-E2000002) were then used to calculate the following spring rates, which have been used in the </w:t>
      </w:r>
      <w:r w:rsidR="00B04682">
        <w:t>load</w:t>
      </w:r>
      <w:r>
        <w:t xml:space="preserve"> analysis:</w:t>
      </w:r>
    </w:p>
    <w:p w14:paraId="61C32268" w14:textId="4ECD342B" w:rsidR="008C39E5" w:rsidRDefault="008C39E5" w:rsidP="008C39E5">
      <w:pPr>
        <w:jc w:val="left"/>
      </w:pPr>
      <w:r>
        <w:t>33,381 N/m (191 lbf/in), axial; 125,979 N/m, lateral; 425,782 N/rad, torsional</w:t>
      </w:r>
    </w:p>
    <w:p w14:paraId="71910C40" w14:textId="77777777" w:rsidR="00A021CB" w:rsidRDefault="00A021CB" w:rsidP="006D5FF0">
      <w:pPr>
        <w:pStyle w:val="Heading2"/>
      </w:pPr>
      <w:bookmarkStart w:id="38" w:name="_Toc50585526"/>
      <w:r>
        <w:t>Settlement Loads</w:t>
      </w:r>
      <w:bookmarkEnd w:id="38"/>
    </w:p>
    <w:p w14:paraId="66A71409" w14:textId="26943062" w:rsidR="00A021CB" w:rsidRDefault="006E5444" w:rsidP="009A3670">
      <w:r w:rsidRPr="007E27E8">
        <w:rPr>
          <w:u w:val="single"/>
        </w:rPr>
        <w:t xml:space="preserve">The maximum allowable differential settlement </w:t>
      </w:r>
      <w:r w:rsidR="00486537" w:rsidRPr="007E27E8">
        <w:rPr>
          <w:u w:val="single"/>
        </w:rPr>
        <w:t>for the FC</w:t>
      </w:r>
      <w:r w:rsidR="00D7AA00" w:rsidRPr="007E27E8">
        <w:rPr>
          <w:u w:val="single"/>
        </w:rPr>
        <w:t xml:space="preserve">T </w:t>
      </w:r>
      <w:r w:rsidR="00486537" w:rsidRPr="007E27E8">
        <w:rPr>
          <w:u w:val="single"/>
        </w:rPr>
        <w:t>has not yet been established; the loads induced by settlement have not been included in this analysis</w:t>
      </w:r>
      <w:r w:rsidR="007E27E8" w:rsidRPr="007E27E8">
        <w:rPr>
          <w:u w:val="single"/>
        </w:rPr>
        <w:t>.</w:t>
      </w:r>
      <w:r w:rsidR="007E27E8">
        <w:t xml:space="preserve"> For the BT the maximum allowed settlement </w:t>
      </w:r>
      <w:r w:rsidR="00D7AA00">
        <w:t>was set by the maximum allowable compressive stress in the BT when under a thermal bake load</w:t>
      </w:r>
      <w:r>
        <w:t xml:space="preserve"> </w:t>
      </w:r>
      <w:r w:rsidR="7A7EC241">
        <w:t>(</w:t>
      </w:r>
      <w:r>
        <w:t>derived on page 145 of</w:t>
      </w:r>
      <w:r w:rsidRPr="5BFA46C7">
        <w:rPr>
          <w:color w:val="FF0000"/>
        </w:rPr>
        <w:t xml:space="preserve"> </w:t>
      </w:r>
      <w:hyperlink r:id="rId33">
        <w:r w:rsidRPr="5BFA46C7">
          <w:rPr>
            <w:rStyle w:val="Hyperlink"/>
          </w:rPr>
          <w:t>C960366</w:t>
        </w:r>
      </w:hyperlink>
      <w:r>
        <w:t>-x0 as 0.556 inches</w:t>
      </w:r>
      <w:r w:rsidR="514707AD">
        <w:t xml:space="preserve">). </w:t>
      </w:r>
    </w:p>
    <w:p w14:paraId="6AF7537F" w14:textId="77777777" w:rsidR="00A021CB" w:rsidRDefault="00A021CB" w:rsidP="006D5FF0">
      <w:pPr>
        <w:pStyle w:val="Heading2"/>
      </w:pPr>
      <w:bookmarkStart w:id="39" w:name="_Toc50585527"/>
      <w:r>
        <w:t>Horizontal Alignment</w:t>
      </w:r>
      <w:bookmarkEnd w:id="39"/>
    </w:p>
    <w:p w14:paraId="13E51E8C" w14:textId="4972B759" w:rsidR="00A021CB" w:rsidRDefault="002E7A8C" w:rsidP="009A3670">
      <w:r>
        <w:t>T</w:t>
      </w:r>
      <w:r w:rsidR="00216317">
        <w:t xml:space="preserve">he lateral </w:t>
      </w:r>
      <w:r w:rsidR="007F66B8">
        <w:t xml:space="preserve">or vertical </w:t>
      </w:r>
      <w:r w:rsidR="00216317">
        <w:t xml:space="preserve">force required </w:t>
      </w:r>
      <w:r w:rsidRPr="002E7A8C">
        <w:t xml:space="preserve">to correct a </w:t>
      </w:r>
      <w:r w:rsidR="007F66B8">
        <w:t>FCT</w:t>
      </w:r>
      <w:r>
        <w:t xml:space="preserve"> </w:t>
      </w:r>
      <w:r w:rsidRPr="002E7A8C">
        <w:t xml:space="preserve">non-linearity </w:t>
      </w:r>
      <w:r w:rsidR="00216317">
        <w:t xml:space="preserve">at </w:t>
      </w:r>
      <w:r w:rsidR="007F66B8">
        <w:t xml:space="preserve">the bellows is included in the expansion joint load calculation. However </w:t>
      </w:r>
      <w:r w:rsidR="007F66B8" w:rsidRPr="007F66B8">
        <w:rPr>
          <w:u w:val="single"/>
        </w:rPr>
        <w:t>the lateral or vertical force to make such alignment corrections at guided supports has not (yet) been included in the analysis</w:t>
      </w:r>
      <w:r w:rsidR="00216317" w:rsidRPr="007F66B8">
        <w:rPr>
          <w:u w:val="single"/>
        </w:rPr>
        <w:t>.</w:t>
      </w:r>
      <w:r w:rsidR="007F66B8" w:rsidRPr="007F66B8">
        <w:rPr>
          <w:u w:val="single"/>
        </w:rPr>
        <w:t xml:space="preserve"> These loads are expected to be small.</w:t>
      </w:r>
    </w:p>
    <w:p w14:paraId="1D5D9BB4" w14:textId="3254F4B9" w:rsidR="0D9153A9" w:rsidRDefault="0D9153A9" w:rsidP="75B1DA5D">
      <w:pPr>
        <w:pStyle w:val="Heading2"/>
      </w:pPr>
      <w:bookmarkStart w:id="40" w:name="_Toc50585528"/>
      <w:r>
        <w:lastRenderedPageBreak/>
        <w:t>Embedded anchor strength</w:t>
      </w:r>
      <w:bookmarkEnd w:id="40"/>
    </w:p>
    <w:p w14:paraId="727BF03E" w14:textId="3223AA91" w:rsidR="00BE2986" w:rsidRDefault="007F66B8" w:rsidP="00BE2986">
      <w:r>
        <w:t xml:space="preserve">Anchors embedded in concrete should follow </w:t>
      </w:r>
      <w:r w:rsidR="0D9153A9" w:rsidRPr="75B1DA5D">
        <w:rPr>
          <w:szCs w:val="24"/>
        </w:rPr>
        <w:t>ACI 318 Chapter 17</w:t>
      </w:r>
      <w:r w:rsidR="00C2595D">
        <w:rPr>
          <w:szCs w:val="24"/>
        </w:rPr>
        <w:t>. The following is based on Hilti guidance and “simplified” design calculation tables</w:t>
      </w:r>
      <w:r w:rsidR="00C2595D">
        <w:rPr>
          <w:rStyle w:val="FootnoteReference"/>
          <w:szCs w:val="24"/>
        </w:rPr>
        <w:footnoteReference w:id="12"/>
      </w:r>
      <w:r w:rsidR="00C2595D">
        <w:rPr>
          <w:szCs w:val="24"/>
        </w:rPr>
        <w:t xml:space="preserve"> based on ACI 318. </w:t>
      </w:r>
      <w:r>
        <w:rPr>
          <w:szCs w:val="24"/>
        </w:rPr>
        <w:t xml:space="preserve">For complex anchor design, </w:t>
      </w:r>
      <w:r w:rsidR="1E2696CD" w:rsidRPr="75B1DA5D">
        <w:rPr>
          <w:szCs w:val="24"/>
        </w:rPr>
        <w:t xml:space="preserve">Hilti </w:t>
      </w:r>
      <w:r>
        <w:rPr>
          <w:szCs w:val="24"/>
        </w:rPr>
        <w:t xml:space="preserve">offers </w:t>
      </w:r>
      <w:r w:rsidR="00C2595D">
        <w:rPr>
          <w:szCs w:val="24"/>
        </w:rPr>
        <w:t>anchor design software</w:t>
      </w:r>
      <w:r w:rsidR="00C2595D">
        <w:rPr>
          <w:rStyle w:val="FootnoteReference"/>
          <w:szCs w:val="24"/>
        </w:rPr>
        <w:footnoteReference w:id="13"/>
      </w:r>
      <w:r w:rsidR="00C2595D">
        <w:rPr>
          <w:szCs w:val="24"/>
        </w:rPr>
        <w:t>.</w:t>
      </w:r>
      <w:bookmarkStart w:id="41" w:name="_Ref45475471"/>
      <w:r w:rsidR="00C2595D">
        <w:rPr>
          <w:szCs w:val="24"/>
        </w:rPr>
        <w:t xml:space="preserve"> </w:t>
      </w:r>
      <w:r w:rsidR="00BE2986">
        <w:t>These tables are as accurate as the anchor design software as long as interpolation isn’t used</w:t>
      </w:r>
      <w:r w:rsidR="00C2595D">
        <w:t xml:space="preserve"> and the geometry is consistent with the tables.</w:t>
      </w:r>
    </w:p>
    <w:p w14:paraId="31BFEC11" w14:textId="53747C22" w:rsidR="00C2595D" w:rsidRDefault="00C2595D" w:rsidP="00C2595D">
      <w:r>
        <w:t xml:space="preserve">A range of potential anchor bolt designs which might be considered is summarized in Table X. We have chosen to anchor the FCT Supports with four (4), ½” diameter, </w:t>
      </w:r>
      <w:r w:rsidR="0081327A">
        <w:t xml:space="preserve">Hilti HAS-B-105 </w:t>
      </w:r>
      <w:r>
        <w:t>anchors</w:t>
      </w:r>
      <w:r w:rsidR="003F08ED">
        <w:t xml:space="preserve"> (or similar)</w:t>
      </w:r>
      <w:r>
        <w:t xml:space="preserve"> which are epoxy-bonded 4.5” deep into a 6” thick concrete slab</w:t>
      </w:r>
      <w:r w:rsidR="0081327A">
        <w:t xml:space="preserve"> with minimum separation of 11 inches</w:t>
      </w:r>
      <w:r>
        <w:t>. The resistance capability of each anchor is 11.8 kN in tension and 10.9 kN in shear.</w:t>
      </w:r>
    </w:p>
    <w:p w14:paraId="2CB331F7" w14:textId="77777777" w:rsidR="0081327A" w:rsidRDefault="0081327A" w:rsidP="00C2595D">
      <w:pPr>
        <w:sectPr w:rsidR="0081327A" w:rsidSect="003516AD">
          <w:headerReference w:type="default" r:id="rId34"/>
          <w:footerReference w:type="even" r:id="rId35"/>
          <w:footerReference w:type="default" r:id="rId36"/>
          <w:headerReference w:type="first" r:id="rId37"/>
          <w:pgSz w:w="12240" w:h="15840" w:code="1"/>
          <w:pgMar w:top="1440" w:right="1325" w:bottom="1440" w:left="1325" w:header="720" w:footer="720" w:gutter="0"/>
          <w:cols w:space="720"/>
        </w:sectPr>
      </w:pPr>
    </w:p>
    <w:p w14:paraId="2DAA0AF1" w14:textId="4FAFF768" w:rsidR="0081327A" w:rsidRDefault="0081327A" w:rsidP="00C2595D"/>
    <w:p w14:paraId="792A737D" w14:textId="7416FA50" w:rsidR="00C2595D" w:rsidRDefault="0081327A" w:rsidP="0081327A">
      <w:pPr>
        <w:pStyle w:val="Caption"/>
      </w:pPr>
      <w:bookmarkStart w:id="42" w:name="_Toc50585539"/>
      <w:r>
        <w:t xml:space="preserve">Table </w:t>
      </w:r>
      <w:r>
        <w:fldChar w:fldCharType="begin"/>
      </w:r>
      <w:r>
        <w:instrText xml:space="preserve"> SEQ Table \* ARABIC </w:instrText>
      </w:r>
      <w:r>
        <w:fldChar w:fldCharType="separate"/>
      </w:r>
      <w:r w:rsidR="00102C1B">
        <w:rPr>
          <w:noProof/>
        </w:rPr>
        <w:t>6</w:t>
      </w:r>
      <w:r>
        <w:fldChar w:fldCharType="end"/>
      </w:r>
      <w:r>
        <w:t xml:space="preserve">  Floor Anchor Resistance</w:t>
      </w:r>
      <w:bookmarkEnd w:id="42"/>
    </w:p>
    <w:p w14:paraId="63B39AEF" w14:textId="6577E462" w:rsidR="0081327A" w:rsidRDefault="0081327A" w:rsidP="0081327A">
      <w:pPr>
        <w:ind w:left="-540"/>
      </w:pPr>
      <w:r w:rsidRPr="0081327A">
        <w:drawing>
          <wp:inline distT="0" distB="0" distL="0" distR="0" wp14:anchorId="0CFDB6BC" wp14:editId="26AD2AE6">
            <wp:extent cx="9039225" cy="2402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9994" cy="2405695"/>
                    </a:xfrm>
                    <a:prstGeom prst="rect">
                      <a:avLst/>
                    </a:prstGeom>
                    <a:noFill/>
                    <a:ln>
                      <a:noFill/>
                    </a:ln>
                  </pic:spPr>
                </pic:pic>
              </a:graphicData>
            </a:graphic>
          </wp:inline>
        </w:drawing>
      </w:r>
    </w:p>
    <w:p w14:paraId="2F9A7DB8" w14:textId="7205E784" w:rsidR="0081327A" w:rsidRDefault="0081327A" w:rsidP="00BE2986"/>
    <w:p w14:paraId="4FD35A3E" w14:textId="77777777" w:rsidR="0081327A" w:rsidRDefault="0081327A" w:rsidP="00BE2986">
      <w:pPr>
        <w:sectPr w:rsidR="0081327A" w:rsidSect="0081327A">
          <w:pgSz w:w="15840" w:h="12240" w:orient="landscape" w:code="1"/>
          <w:pgMar w:top="1325" w:right="1440" w:bottom="1325" w:left="1440" w:header="720" w:footer="720" w:gutter="0"/>
          <w:cols w:space="720"/>
          <w:docGrid w:linePitch="326"/>
        </w:sectPr>
      </w:pPr>
    </w:p>
    <w:p w14:paraId="678F9495" w14:textId="3FF908CC" w:rsidR="0081327A" w:rsidRDefault="0081327A" w:rsidP="00BE2986"/>
    <w:p w14:paraId="6842CBBB" w14:textId="77777777" w:rsidR="00F6776B" w:rsidRDefault="00F6776B" w:rsidP="00F6776B">
      <w:pPr>
        <w:pStyle w:val="Heading1"/>
      </w:pPr>
      <w:bookmarkStart w:id="43" w:name="_Toc50585529"/>
      <w:bookmarkEnd w:id="41"/>
      <w:r>
        <w:t>LRFD Loads</w:t>
      </w:r>
      <w:bookmarkEnd w:id="43"/>
    </w:p>
    <w:p w14:paraId="658EB6AC" w14:textId="77777777" w:rsidR="00F6776B" w:rsidRDefault="00F6776B" w:rsidP="00F6776B">
      <w:pPr>
        <w:pStyle w:val="Heading2"/>
      </w:pPr>
      <w:bookmarkStart w:id="44" w:name="_Toc50585530"/>
      <w:r>
        <w:t>Design loads imposed at the Support Shoes</w:t>
      </w:r>
      <w:bookmarkEnd w:id="44"/>
    </w:p>
    <w:p w14:paraId="1B7F5775" w14:textId="071A0FBD" w:rsidR="00F6776B" w:rsidRDefault="00F6776B" w:rsidP="00F6776B">
      <w:r>
        <w:t>A simple beam model (</w:t>
      </w:r>
      <w:r w:rsidR="009258C3">
        <w:fldChar w:fldCharType="begin"/>
      </w:r>
      <w:r w:rsidR="009258C3">
        <w:instrText xml:space="preserve"> REF _Ref50396716 \h </w:instrText>
      </w:r>
      <w:r w:rsidR="009258C3">
        <w:fldChar w:fldCharType="separate"/>
      </w:r>
      <w:r w:rsidR="00102C1B">
        <w:t xml:space="preserve">Figure </w:t>
      </w:r>
      <w:r w:rsidR="00102C1B">
        <w:rPr>
          <w:noProof/>
        </w:rPr>
        <w:t>6</w:t>
      </w:r>
      <w:r w:rsidR="009258C3">
        <w:fldChar w:fldCharType="end"/>
      </w:r>
      <w:r>
        <w:t xml:space="preserve">) without </w:t>
      </w:r>
      <w:r w:rsidR="009258C3">
        <w:t xml:space="preserve">physical models of </w:t>
      </w:r>
      <w:r>
        <w:t>the supports, spanning one typical repeating module within the FCT enclosure was used to determine the loads imposed on the Supports at the Pipe Shoes. This model has discrete mass representation of the 6-way cross and associated equipment, and a multi-dimensional spring representation of the expansion joint (aka bellows). Ideal boundary conditions for each support were used</w:t>
      </w:r>
      <w:r w:rsidR="00927A10">
        <w:t xml:space="preserve">. </w:t>
      </w:r>
      <w:r>
        <w:t xml:space="preserve">This model was also used to determine the loads on the Alternate Guided (AG) supports by imposing lateral displacements </w:t>
      </w:r>
      <w:r w:rsidR="00927A10">
        <w:t xml:space="preserve">at each Guided (G) Support </w:t>
      </w:r>
      <w:r>
        <w:t>representative of worst case tolerance stack-up of the FCTs.</w:t>
      </w:r>
    </w:p>
    <w:p w14:paraId="5669668E" w14:textId="1B14A890" w:rsidR="00927A10" w:rsidRDefault="0068203F" w:rsidP="00F6776B">
      <w:r>
        <w:t>The steps for calculating the design loads at the Support Shoes are as follows:</w:t>
      </w:r>
    </w:p>
    <w:p w14:paraId="0293600D" w14:textId="0E837D63" w:rsidR="0068203F" w:rsidRDefault="00E851D4" w:rsidP="0068203F">
      <w:pPr>
        <w:pStyle w:val="ListParagraph"/>
        <w:numPr>
          <w:ilvl w:val="0"/>
          <w:numId w:val="25"/>
        </w:numPr>
      </w:pPr>
      <w:r>
        <w:t>Use the simple beam model to c</w:t>
      </w:r>
      <w:r w:rsidR="0068203F">
        <w:t>alculate the reaction forces at each boundary condition for each of the following 5 load cases:</w:t>
      </w:r>
    </w:p>
    <w:p w14:paraId="22B4619D" w14:textId="5B99E0B6" w:rsidR="0068203F" w:rsidRDefault="0068203F" w:rsidP="0068203F">
      <w:pPr>
        <w:pStyle w:val="ListParagraph"/>
        <w:numPr>
          <w:ilvl w:val="0"/>
          <w:numId w:val="26"/>
        </w:numPr>
      </w:pPr>
      <w:r>
        <w:t>Dead Load (D)</w:t>
      </w:r>
    </w:p>
    <w:p w14:paraId="394E9191" w14:textId="33D02BEF" w:rsidR="0068203F" w:rsidRDefault="0068203F" w:rsidP="0068203F">
      <w:pPr>
        <w:pStyle w:val="ListParagraph"/>
        <w:numPr>
          <w:ilvl w:val="0"/>
          <w:numId w:val="26"/>
        </w:numPr>
      </w:pPr>
      <w:r>
        <w:t>Vacuum load (atmospheric pressure), Lvac (for F/G Supports only)</w:t>
      </w:r>
    </w:p>
    <w:p w14:paraId="54323FEC" w14:textId="008CB1E1" w:rsidR="0068203F" w:rsidRDefault="0068203F" w:rsidP="0068203F">
      <w:pPr>
        <w:pStyle w:val="ListParagraph"/>
        <w:numPr>
          <w:ilvl w:val="0"/>
          <w:numId w:val="26"/>
        </w:numPr>
      </w:pPr>
      <w:r>
        <w:t>Alignment load including axial friction, Lalign</w:t>
      </w:r>
    </w:p>
    <w:p w14:paraId="3090BEF5" w14:textId="2B906202" w:rsidR="0068203F" w:rsidRDefault="0068203F" w:rsidP="0068203F">
      <w:pPr>
        <w:pStyle w:val="ListParagraph"/>
        <w:numPr>
          <w:ilvl w:val="0"/>
          <w:numId w:val="26"/>
        </w:numPr>
      </w:pPr>
      <w:r>
        <w:t>Lateral earthquake load, Ehx</w:t>
      </w:r>
    </w:p>
    <w:p w14:paraId="5D0CBCD1" w14:textId="6A59CF2C" w:rsidR="0068203F" w:rsidRDefault="0068203F" w:rsidP="0068203F">
      <w:pPr>
        <w:pStyle w:val="ListParagraph"/>
        <w:numPr>
          <w:ilvl w:val="0"/>
          <w:numId w:val="26"/>
        </w:numPr>
      </w:pPr>
      <w:r>
        <w:t>Axial earthquake load, Ehy</w:t>
      </w:r>
    </w:p>
    <w:p w14:paraId="126DB59C" w14:textId="243BD67D" w:rsidR="0068203F" w:rsidRDefault="001614AA" w:rsidP="0068203F">
      <w:pPr>
        <w:pStyle w:val="ListParagraph"/>
        <w:numPr>
          <w:ilvl w:val="0"/>
          <w:numId w:val="25"/>
        </w:numPr>
      </w:pPr>
      <w:r>
        <w:t xml:space="preserve">Combine the results of step 1 per the 6 LRFD load cases in </w:t>
      </w:r>
      <w:r>
        <w:fldChar w:fldCharType="begin"/>
      </w:r>
      <w:r>
        <w:instrText xml:space="preserve"> REF _Ref50448092 \h </w:instrText>
      </w:r>
      <w:r>
        <w:fldChar w:fldCharType="separate"/>
      </w:r>
      <w:r w:rsidR="00102C1B">
        <w:t xml:space="preserve">Table </w:t>
      </w:r>
      <w:r w:rsidR="00102C1B">
        <w:rPr>
          <w:noProof/>
        </w:rPr>
        <w:t>2</w:t>
      </w:r>
      <w:r>
        <w:fldChar w:fldCharType="end"/>
      </w:r>
      <w:r>
        <w:t>.</w:t>
      </w:r>
    </w:p>
    <w:p w14:paraId="3E1A4334" w14:textId="4960EF2C" w:rsidR="001614AA" w:rsidRDefault="001614AA" w:rsidP="001614AA">
      <w:r>
        <w:t xml:space="preserve">The </w:t>
      </w:r>
      <w:r w:rsidR="00E851D4">
        <w:t>calculations are in the accompanying Excel workbook uploaded to the LIGO DCC with this document (</w:t>
      </w:r>
      <w:hyperlink r:id="rId39" w:history="1">
        <w:r w:rsidR="00E851D4" w:rsidRPr="00E851D4">
          <w:rPr>
            <w:rStyle w:val="Hyperlink"/>
          </w:rPr>
          <w:t>LIGO-T2000431</w:t>
        </w:r>
      </w:hyperlink>
      <w:r w:rsidR="00E851D4">
        <w:t xml:space="preserve">) and the </w:t>
      </w:r>
      <w:r>
        <w:t xml:space="preserve">results are given in </w:t>
      </w:r>
      <w:r>
        <w:fldChar w:fldCharType="begin"/>
      </w:r>
      <w:r>
        <w:instrText xml:space="preserve"> REF _Ref50448435 \h </w:instrText>
      </w:r>
      <w:r>
        <w:fldChar w:fldCharType="separate"/>
      </w:r>
      <w:r w:rsidR="00102C1B">
        <w:t xml:space="preserve">Table </w:t>
      </w:r>
      <w:r w:rsidR="00102C1B">
        <w:rPr>
          <w:noProof/>
        </w:rPr>
        <w:t>7</w:t>
      </w:r>
      <w:r>
        <w:fldChar w:fldCharType="end"/>
      </w:r>
      <w:r w:rsidR="00E851D4">
        <w:t>.</w:t>
      </w:r>
    </w:p>
    <w:p w14:paraId="4D6A332D" w14:textId="54D3F33E" w:rsidR="001614AA" w:rsidRDefault="001614AA" w:rsidP="001614AA">
      <w:pPr>
        <w:pStyle w:val="Caption"/>
        <w:keepNext/>
      </w:pPr>
      <w:bookmarkStart w:id="45" w:name="_Ref50448435"/>
      <w:bookmarkStart w:id="46" w:name="_Toc50585540"/>
      <w:r>
        <w:lastRenderedPageBreak/>
        <w:t xml:space="preserve">Table </w:t>
      </w:r>
      <w:r>
        <w:fldChar w:fldCharType="begin"/>
      </w:r>
      <w:r>
        <w:instrText xml:space="preserve"> SEQ Table \* ARABIC </w:instrText>
      </w:r>
      <w:r>
        <w:fldChar w:fldCharType="separate"/>
      </w:r>
      <w:r w:rsidR="00102C1B">
        <w:rPr>
          <w:noProof/>
        </w:rPr>
        <w:t>7</w:t>
      </w:r>
      <w:r>
        <w:fldChar w:fldCharType="end"/>
      </w:r>
      <w:bookmarkEnd w:id="45"/>
      <w:r>
        <w:t xml:space="preserve">  ASCE 7-16 LRFD Load Cases: Forces and Moments on Support Pipe Shoes @FCT Centerline</w:t>
      </w:r>
      <w:bookmarkEnd w:id="46"/>
    </w:p>
    <w:p w14:paraId="5109C248" w14:textId="650B67D0" w:rsidR="001614AA" w:rsidRPr="001614AA" w:rsidRDefault="001614AA" w:rsidP="001614AA">
      <w:pPr>
        <w:keepNext/>
      </w:pPr>
      <w:r>
        <w:t>Reaction forces are in Newtons (N), Moments are in Newton-meters (Nm).</w:t>
      </w:r>
    </w:p>
    <w:p w14:paraId="1C71F378" w14:textId="0ACFA594" w:rsidR="001614AA" w:rsidRDefault="001614AA" w:rsidP="001614AA">
      <w:pPr>
        <w:jc w:val="center"/>
      </w:pPr>
      <w:r w:rsidRPr="001614AA">
        <w:drawing>
          <wp:inline distT="0" distB="0" distL="0" distR="0" wp14:anchorId="3CD224EC" wp14:editId="42DA2CD7">
            <wp:extent cx="5347970" cy="750530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5060"/>
                    <a:stretch/>
                  </pic:blipFill>
                  <pic:spPr bwMode="auto">
                    <a:xfrm>
                      <a:off x="0" y="0"/>
                      <a:ext cx="5357114" cy="7518140"/>
                    </a:xfrm>
                    <a:prstGeom prst="rect">
                      <a:avLst/>
                    </a:prstGeom>
                    <a:noFill/>
                    <a:ln>
                      <a:noFill/>
                    </a:ln>
                    <a:extLst>
                      <a:ext uri="{53640926-AAD7-44D8-BBD7-CCE9431645EC}">
                        <a14:shadowObscured xmlns:a14="http://schemas.microsoft.com/office/drawing/2010/main"/>
                      </a:ext>
                    </a:extLst>
                  </pic:spPr>
                </pic:pic>
              </a:graphicData>
            </a:graphic>
          </wp:inline>
        </w:drawing>
      </w:r>
    </w:p>
    <w:p w14:paraId="7F4AF625" w14:textId="77777777" w:rsidR="00F6776B" w:rsidRDefault="00F6776B" w:rsidP="00F6776B">
      <w:pPr>
        <w:pStyle w:val="Heading2"/>
      </w:pPr>
      <w:bookmarkStart w:id="47" w:name="_Toc50585531"/>
      <w:r>
        <w:lastRenderedPageBreak/>
        <w:t>Floor anchor reactions</w:t>
      </w:r>
      <w:bookmarkEnd w:id="47"/>
    </w:p>
    <w:p w14:paraId="79D1F70D" w14:textId="2DEB1417" w:rsidR="00F6776B" w:rsidRDefault="00F6776B" w:rsidP="001614AA">
      <w:r>
        <w:t xml:space="preserve">Several 3D representations of the supports were created in order to determine the transfer of loads imposed on the support shoe to the floor anchors with variations in the support base dimensions/design. An example model is shown in </w:t>
      </w:r>
      <w:r w:rsidR="001614AA">
        <w:fldChar w:fldCharType="begin"/>
      </w:r>
      <w:r w:rsidR="001614AA">
        <w:instrText xml:space="preserve"> REF _Ref50448564 \h </w:instrText>
      </w:r>
      <w:r w:rsidR="001614AA">
        <w:fldChar w:fldCharType="separate"/>
      </w:r>
      <w:r w:rsidR="00102C1B">
        <w:t xml:space="preserve">Figure </w:t>
      </w:r>
      <w:r w:rsidR="00102C1B">
        <w:rPr>
          <w:noProof/>
        </w:rPr>
        <w:t>8</w:t>
      </w:r>
      <w:r w:rsidR="001614AA">
        <w:fldChar w:fldCharType="end"/>
      </w:r>
      <w:r w:rsidR="001614AA">
        <w:t>. For each model, the response or transfer matrix (T) was calculated for unit forces (F) and moments (M) in each direction (Fx, Fy, Fz, Mx, My, Mz) applied to the support at the FCT centerline, to reaction forces (R) at each of the n floor anchor bolts (Rx1, Ry1, Rz1, Rx2, Ry2, …, Rxn, Ryn, R</w:t>
      </w:r>
      <w:r w:rsidR="003C31F4">
        <w:t>zn</w:t>
      </w:r>
      <w:r w:rsidR="001614AA">
        <w:t>):</w:t>
      </w:r>
    </w:p>
    <w:p w14:paraId="06FFB99E" w14:textId="22C878CC" w:rsidR="00F6776B" w:rsidRPr="00A16558" w:rsidRDefault="003C31F4" w:rsidP="00F6776B">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Rx1</m:t>
                  </m:r>
                </m:e>
                <m:e>
                  <m:r>
                    <w:rPr>
                      <w:rFonts w:ascii="Cambria Math" w:hAnsi="Cambria Math"/>
                    </w:rPr>
                    <m:t>Ry1</m:t>
                  </m:r>
                  <m:ctrlPr>
                    <w:rPr>
                      <w:rFonts w:ascii="Cambria Math" w:eastAsia="Cambria Math" w:hAnsi="Cambria Math" w:cs="Cambria Math"/>
                      <w:i/>
                    </w:rPr>
                  </m:ctrlPr>
                </m:e>
                <m:e>
                  <m:r>
                    <w:rPr>
                      <w:rFonts w:ascii="Cambria Math" w:eastAsia="Cambria Math" w:hAnsi="Cambria Math" w:cs="Cambria Math"/>
                    </w:rPr>
                    <m:t>Rz1</m:t>
                  </m:r>
                  <m:ctrlPr>
                    <w:rPr>
                      <w:rFonts w:ascii="Cambria Math" w:eastAsia="Cambria Math" w:hAnsi="Cambria Math" w:cs="Cambria Math"/>
                      <w:i/>
                    </w:rPr>
                  </m:ctrlPr>
                </m:e>
                <m:e>
                  <m:r>
                    <w:rPr>
                      <w:rFonts w:ascii="Cambria Math" w:eastAsia="Cambria Math" w:hAnsi="Cambria Math" w:cs="Cambria Math"/>
                    </w:rPr>
                    <m:t>Rx2</m:t>
                  </m:r>
                  <m:ctrlPr>
                    <w:rPr>
                      <w:rFonts w:ascii="Cambria Math" w:eastAsia="Cambria Math" w:hAnsi="Cambria Math" w:cs="Cambria Math"/>
                      <w:i/>
                    </w:rPr>
                  </m:ctrlPr>
                </m:e>
                <m:e>
                  <m:r>
                    <w:rPr>
                      <w:rFonts w:ascii="Cambria Math" w:eastAsia="Cambria Math" w:hAnsi="Cambria Math" w:cs="Cambria Math"/>
                    </w:rPr>
                    <m:t>Ry2</m:t>
                  </m:r>
                  <m:ctrlPr>
                    <w:rPr>
                      <w:rFonts w:ascii="Cambria Math" w:eastAsia="Cambria Math" w:hAnsi="Cambria Math" w:cs="Cambria Math"/>
                      <w:i/>
                    </w:rPr>
                  </m:ctrlPr>
                </m:e>
                <m:e>
                  <m:r>
                    <w:rPr>
                      <w:rFonts w:ascii="Cambria Math" w:eastAsia="Cambria Math" w:hAnsi="Cambria Math" w:cs="Cambria Math"/>
                    </w:rPr>
                    <m:t>Rz2</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Rxn</m:t>
                  </m:r>
                  <m:ctrlPr>
                    <w:rPr>
                      <w:rFonts w:ascii="Cambria Math" w:eastAsia="Cambria Math" w:hAnsi="Cambria Math" w:cs="Cambria Math"/>
                      <w:i/>
                    </w:rPr>
                  </m:ctrlPr>
                </m:e>
                <m:e>
                  <m:r>
                    <w:rPr>
                      <w:rFonts w:ascii="Cambria Math" w:eastAsia="Cambria Math" w:hAnsi="Cambria Math" w:cs="Cambria Math"/>
                    </w:rPr>
                    <m:t>Ryn</m:t>
                  </m:r>
                  <m:ctrlPr>
                    <w:rPr>
                      <w:rFonts w:ascii="Cambria Math" w:eastAsia="Cambria Math" w:hAnsi="Cambria Math" w:cs="Cambria Math"/>
                      <w:i/>
                    </w:rPr>
                  </m:ctrlPr>
                </m:e>
                <m:e>
                  <m:r>
                    <w:rPr>
                      <w:rFonts w:ascii="Cambria Math" w:eastAsia="Cambria Math" w:hAnsi="Cambria Math" w:cs="Cambria Math"/>
                    </w:rPr>
                    <m:t>Rzn</m:t>
                  </m:r>
                </m:e>
              </m:eqAr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T1,1</m:t>
                    </m:r>
                  </m:e>
                  <m:e>
                    <m:r>
                      <w:rPr>
                        <w:rFonts w:ascii="Cambria Math" w:hAnsi="Cambria Math"/>
                      </w:rPr>
                      <m:t>⋯</m:t>
                    </m:r>
                  </m:e>
                  <m:e>
                    <m:r>
                      <w:rPr>
                        <w:rFonts w:ascii="Cambria Math" w:hAnsi="Cambria Math"/>
                      </w:rPr>
                      <m:t>T16</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T</m:t>
                    </m:r>
                    <m:r>
                      <w:rPr>
                        <w:rFonts w:ascii="Cambria Math" w:hAnsi="Cambria Math"/>
                      </w:rPr>
                      <m:t>3</m:t>
                    </m:r>
                    <m:r>
                      <w:rPr>
                        <w:rFonts w:ascii="Cambria Math" w:hAnsi="Cambria Math"/>
                      </w:rPr>
                      <m:t>n,1</m:t>
                    </m:r>
                  </m:e>
                  <m:e>
                    <m:r>
                      <w:rPr>
                        <w:rFonts w:ascii="Cambria Math" w:hAnsi="Cambria Math"/>
                      </w:rPr>
                      <m:t>⋯</m:t>
                    </m:r>
                  </m:e>
                  <m:e>
                    <m:r>
                      <w:rPr>
                        <w:rFonts w:ascii="Cambria Math" w:hAnsi="Cambria Math"/>
                      </w:rPr>
                      <m:t>T</m:t>
                    </m:r>
                    <m:r>
                      <w:rPr>
                        <w:rFonts w:ascii="Cambria Math" w:hAnsi="Cambria Math"/>
                      </w:rPr>
                      <m:t>3</m:t>
                    </m:r>
                    <m:r>
                      <w:rPr>
                        <w:rFonts w:ascii="Cambria Math" w:hAnsi="Cambria Math"/>
                      </w:rPr>
                      <m:t>n,6</m:t>
                    </m:r>
                  </m:e>
                </m:mr>
              </m:m>
            </m:e>
          </m:d>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Fx</m:t>
                  </m:r>
                </m:e>
                <m:e>
                  <m:r>
                    <w:rPr>
                      <w:rFonts w:ascii="Cambria Math" w:hAnsi="Cambria Math"/>
                    </w:rPr>
                    <m:t>Fy</m:t>
                  </m:r>
                  <m:ctrlPr>
                    <w:rPr>
                      <w:rFonts w:ascii="Cambria Math" w:eastAsia="Cambria Math" w:hAnsi="Cambria Math" w:cs="Cambria Math"/>
                      <w:i/>
                    </w:rPr>
                  </m:ctrlPr>
                </m:e>
                <m:e>
                  <m:r>
                    <w:rPr>
                      <w:rFonts w:ascii="Cambria Math" w:eastAsia="Cambria Math" w:hAnsi="Cambria Math" w:cs="Cambria Math"/>
                    </w:rPr>
                    <m:t>Fz</m:t>
                  </m:r>
                  <m:ctrlPr>
                    <w:rPr>
                      <w:rFonts w:ascii="Cambria Math" w:eastAsia="Cambria Math" w:hAnsi="Cambria Math" w:cs="Cambria Math"/>
                      <w:i/>
                    </w:rPr>
                  </m:ctrlPr>
                </m:e>
                <m:e>
                  <m:r>
                    <w:rPr>
                      <w:rFonts w:ascii="Cambria Math" w:eastAsia="Cambria Math" w:hAnsi="Cambria Math" w:cs="Cambria Math"/>
                    </w:rPr>
                    <m:t>Mx</m:t>
                  </m:r>
                  <m:ctrlPr>
                    <w:rPr>
                      <w:rFonts w:ascii="Cambria Math" w:eastAsia="Cambria Math" w:hAnsi="Cambria Math" w:cs="Cambria Math"/>
                      <w:i/>
                    </w:rPr>
                  </m:ctrlPr>
                </m:e>
                <m:e>
                  <m:r>
                    <w:rPr>
                      <w:rFonts w:ascii="Cambria Math" w:eastAsia="Cambria Math" w:hAnsi="Cambria Math" w:cs="Cambria Math"/>
                    </w:rPr>
                    <m:t>My</m:t>
                  </m:r>
                  <m:ctrlPr>
                    <w:rPr>
                      <w:rFonts w:ascii="Cambria Math" w:eastAsia="Cambria Math" w:hAnsi="Cambria Math" w:cs="Cambria Math"/>
                      <w:i/>
                    </w:rPr>
                  </m:ctrlPr>
                </m:e>
                <m:e>
                  <m:r>
                    <w:rPr>
                      <w:rFonts w:ascii="Cambria Math" w:eastAsia="Cambria Math" w:hAnsi="Cambria Math" w:cs="Cambria Math"/>
                    </w:rPr>
                    <m:t>Mz</m:t>
                  </m:r>
                </m:e>
              </m:eqArr>
            </m:e>
          </m:d>
        </m:oMath>
      </m:oMathPara>
    </w:p>
    <w:p w14:paraId="30B7A19F" w14:textId="70FE22C1" w:rsidR="00F6776B" w:rsidRDefault="00E851D4" w:rsidP="001B5061">
      <w:r>
        <w:t xml:space="preserve">For each of the 6 LRFD load cases in </w:t>
      </w:r>
      <w:r>
        <w:fldChar w:fldCharType="begin"/>
      </w:r>
      <w:r>
        <w:instrText xml:space="preserve"> REF _Ref50448435 \h </w:instrText>
      </w:r>
      <w:r>
        <w:fldChar w:fldCharType="separate"/>
      </w:r>
      <w:r w:rsidR="00102C1B">
        <w:t xml:space="preserve">Table </w:t>
      </w:r>
      <w:r w:rsidR="00102C1B">
        <w:rPr>
          <w:noProof/>
        </w:rPr>
        <w:t>7</w:t>
      </w:r>
      <w:r>
        <w:fldChar w:fldCharType="end"/>
      </w:r>
      <w:r>
        <w:t xml:space="preserve"> the reaction forces on each floor anchor bolt are calculated. Then the maximum and minimum vertical (anchor bolt axial) and shear forces are calculated across all of the 6 LRFD load cases. The transfer matrices and the calculations are in the accompanying Excel workbook uploaded to the LIGO DCC with this document</w:t>
      </w:r>
      <w:r w:rsidR="003C796A">
        <w:t xml:space="preserve"> (</w:t>
      </w:r>
      <w:hyperlink r:id="rId41" w:history="1">
        <w:r w:rsidR="003C796A" w:rsidRPr="003C796A">
          <w:rPr>
            <w:rStyle w:val="Hyperlink"/>
          </w:rPr>
          <w:t>LIGO-T2000431</w:t>
        </w:r>
      </w:hyperlink>
      <w:r w:rsidR="003C796A">
        <w:t>)</w:t>
      </w:r>
      <w:r>
        <w:t xml:space="preserve"> and the results are given in</w:t>
      </w:r>
      <w:r w:rsidR="00C2595D">
        <w:t xml:space="preserve"> </w:t>
      </w:r>
      <w:r w:rsidR="00C2595D">
        <w:fldChar w:fldCharType="begin"/>
      </w:r>
      <w:r w:rsidR="00C2595D">
        <w:instrText xml:space="preserve"> REF _Ref50453310 \h </w:instrText>
      </w:r>
      <w:r w:rsidR="00C2595D">
        <w:fldChar w:fldCharType="separate"/>
      </w:r>
      <w:r w:rsidR="00102C1B">
        <w:t xml:space="preserve">Table </w:t>
      </w:r>
      <w:r w:rsidR="00102C1B">
        <w:rPr>
          <w:noProof/>
        </w:rPr>
        <w:t>8</w:t>
      </w:r>
      <w:r w:rsidR="00C2595D">
        <w:fldChar w:fldCharType="end"/>
      </w:r>
      <w:r>
        <w:t>.</w:t>
      </w:r>
      <w:r w:rsidR="003C796A">
        <w:t xml:space="preserve"> </w:t>
      </w:r>
    </w:p>
    <w:p w14:paraId="0C8C5731" w14:textId="0B01385B" w:rsidR="00E851D4" w:rsidRDefault="00C2595D" w:rsidP="00C2595D">
      <w:pPr>
        <w:pStyle w:val="Caption"/>
      </w:pPr>
      <w:bookmarkStart w:id="48" w:name="_Ref50453310"/>
      <w:bookmarkStart w:id="49" w:name="_Toc50585541"/>
      <w:r>
        <w:t xml:space="preserve">Table </w:t>
      </w:r>
      <w:r>
        <w:fldChar w:fldCharType="begin"/>
      </w:r>
      <w:r>
        <w:instrText xml:space="preserve"> SEQ Table \* ARABIC </w:instrText>
      </w:r>
      <w:r>
        <w:fldChar w:fldCharType="separate"/>
      </w:r>
      <w:r w:rsidR="00102C1B">
        <w:rPr>
          <w:noProof/>
        </w:rPr>
        <w:t>8</w:t>
      </w:r>
      <w:r>
        <w:fldChar w:fldCharType="end"/>
      </w:r>
      <w:bookmarkEnd w:id="48"/>
      <w:r>
        <w:t xml:space="preserve">  Floor Anchor Bolt Loads</w:t>
      </w:r>
      <w:bookmarkEnd w:id="49"/>
    </w:p>
    <w:tbl>
      <w:tblPr>
        <w:tblStyle w:val="TableGrid"/>
        <w:tblW w:w="0" w:type="auto"/>
        <w:jc w:val="center"/>
        <w:tblLook w:val="04A0" w:firstRow="1" w:lastRow="0" w:firstColumn="1" w:lastColumn="0" w:noHBand="0" w:noVBand="1"/>
      </w:tblPr>
      <w:tblGrid>
        <w:gridCol w:w="2785"/>
        <w:gridCol w:w="1980"/>
        <w:gridCol w:w="1980"/>
        <w:gridCol w:w="1980"/>
      </w:tblGrid>
      <w:tr w:rsidR="00C2595D" w14:paraId="4F7EDFFA" w14:textId="77777777" w:rsidTr="00C2595D">
        <w:trPr>
          <w:jc w:val="center"/>
        </w:trPr>
        <w:tc>
          <w:tcPr>
            <w:tcW w:w="2785" w:type="dxa"/>
          </w:tcPr>
          <w:p w14:paraId="7AA62B1C" w14:textId="77777777" w:rsidR="00C2595D" w:rsidRPr="00AE4ED4" w:rsidRDefault="00C2595D" w:rsidP="00C2595D">
            <w:pPr>
              <w:jc w:val="center"/>
              <w:rPr>
                <w:b/>
                <w:bCs/>
              </w:rPr>
            </w:pPr>
            <w:r w:rsidRPr="00AE4ED4">
              <w:rPr>
                <w:b/>
                <w:bCs/>
              </w:rPr>
              <w:t>Support Type</w:t>
            </w:r>
          </w:p>
        </w:tc>
        <w:tc>
          <w:tcPr>
            <w:tcW w:w="1980" w:type="dxa"/>
          </w:tcPr>
          <w:p w14:paraId="53D0C6E2" w14:textId="0C210294" w:rsidR="00C2595D" w:rsidRPr="00AE4ED4" w:rsidRDefault="00C2595D" w:rsidP="00C2595D">
            <w:pPr>
              <w:jc w:val="center"/>
              <w:rPr>
                <w:b/>
                <w:bCs/>
              </w:rPr>
            </w:pPr>
            <w:r>
              <w:rPr>
                <w:b/>
                <w:bCs/>
              </w:rPr>
              <w:t>Base Plate</w:t>
            </w:r>
            <w:r w:rsidR="00136FDD" w:rsidRPr="00136FDD">
              <w:rPr>
                <w:b/>
                <w:bCs/>
                <w:vertAlign w:val="superscript"/>
              </w:rPr>
              <w:t>*</w:t>
            </w:r>
            <w:r>
              <w:rPr>
                <w:b/>
                <w:bCs/>
              </w:rPr>
              <w:t xml:space="preserve"> Dimensions</w:t>
            </w:r>
          </w:p>
        </w:tc>
        <w:tc>
          <w:tcPr>
            <w:tcW w:w="1980" w:type="dxa"/>
          </w:tcPr>
          <w:p w14:paraId="0B6AB3BB" w14:textId="77777777" w:rsidR="00C2595D" w:rsidRPr="00AE4ED4" w:rsidRDefault="00C2595D" w:rsidP="00C2595D">
            <w:pPr>
              <w:jc w:val="center"/>
              <w:rPr>
                <w:b/>
                <w:bCs/>
              </w:rPr>
            </w:pPr>
            <w:r w:rsidRPr="00AE4ED4">
              <w:rPr>
                <w:b/>
                <w:bCs/>
              </w:rPr>
              <w:t xml:space="preserve">Max Anchor </w:t>
            </w:r>
            <w:r>
              <w:rPr>
                <w:b/>
                <w:bCs/>
              </w:rPr>
              <w:br/>
            </w:r>
            <w:r w:rsidRPr="00AE4ED4">
              <w:rPr>
                <w:b/>
                <w:bCs/>
              </w:rPr>
              <w:t>Tension (kN)</w:t>
            </w:r>
          </w:p>
        </w:tc>
        <w:tc>
          <w:tcPr>
            <w:tcW w:w="1980" w:type="dxa"/>
          </w:tcPr>
          <w:p w14:paraId="177DC86E" w14:textId="77777777" w:rsidR="00C2595D" w:rsidRPr="00AE4ED4" w:rsidRDefault="00C2595D" w:rsidP="00C2595D">
            <w:pPr>
              <w:jc w:val="center"/>
              <w:rPr>
                <w:b/>
                <w:bCs/>
              </w:rPr>
            </w:pPr>
            <w:r w:rsidRPr="00AE4ED4">
              <w:rPr>
                <w:b/>
                <w:bCs/>
              </w:rPr>
              <w:t xml:space="preserve">Max Anchor </w:t>
            </w:r>
            <w:r>
              <w:rPr>
                <w:b/>
                <w:bCs/>
              </w:rPr>
              <w:br/>
            </w:r>
            <w:r w:rsidRPr="00AE4ED4">
              <w:rPr>
                <w:b/>
                <w:bCs/>
              </w:rPr>
              <w:t>Shear (kN)</w:t>
            </w:r>
          </w:p>
        </w:tc>
      </w:tr>
      <w:tr w:rsidR="00C2595D" w14:paraId="37AF32C5" w14:textId="77777777" w:rsidTr="00C2595D">
        <w:trPr>
          <w:jc w:val="center"/>
        </w:trPr>
        <w:tc>
          <w:tcPr>
            <w:tcW w:w="2785" w:type="dxa"/>
          </w:tcPr>
          <w:p w14:paraId="5163669E" w14:textId="77777777" w:rsidR="00C2595D" w:rsidRDefault="00C2595D" w:rsidP="00C2595D">
            <w:r>
              <w:t>Fixed/Gated (F/G)</w:t>
            </w:r>
          </w:p>
        </w:tc>
        <w:tc>
          <w:tcPr>
            <w:tcW w:w="1980" w:type="dxa"/>
          </w:tcPr>
          <w:p w14:paraId="6D648B58" w14:textId="77777777" w:rsidR="00C2595D" w:rsidRDefault="00C2595D" w:rsidP="00C2595D">
            <w:pPr>
              <w:jc w:val="center"/>
            </w:pPr>
            <w:r>
              <w:t>17” x 36”</w:t>
            </w:r>
          </w:p>
        </w:tc>
        <w:tc>
          <w:tcPr>
            <w:tcW w:w="1980" w:type="dxa"/>
          </w:tcPr>
          <w:p w14:paraId="4542A7E7" w14:textId="77777777" w:rsidR="00C2595D" w:rsidRDefault="00C2595D" w:rsidP="00C2595D">
            <w:pPr>
              <w:jc w:val="center"/>
            </w:pPr>
            <w:r>
              <w:t>9.0</w:t>
            </w:r>
          </w:p>
        </w:tc>
        <w:tc>
          <w:tcPr>
            <w:tcW w:w="1980" w:type="dxa"/>
          </w:tcPr>
          <w:p w14:paraId="2930295A" w14:textId="77777777" w:rsidR="00C2595D" w:rsidRDefault="00C2595D" w:rsidP="00C2595D">
            <w:pPr>
              <w:jc w:val="center"/>
            </w:pPr>
            <w:r>
              <w:t>3.1</w:t>
            </w:r>
          </w:p>
        </w:tc>
      </w:tr>
      <w:tr w:rsidR="00C2595D" w14:paraId="43B01AC8" w14:textId="77777777" w:rsidTr="00C2595D">
        <w:trPr>
          <w:jc w:val="center"/>
        </w:trPr>
        <w:tc>
          <w:tcPr>
            <w:tcW w:w="2785" w:type="dxa"/>
          </w:tcPr>
          <w:p w14:paraId="573B7792" w14:textId="77777777" w:rsidR="00C2595D" w:rsidRDefault="00C2595D" w:rsidP="00C2595D">
            <w:r>
              <w:t>Fixed (F)</w:t>
            </w:r>
          </w:p>
        </w:tc>
        <w:tc>
          <w:tcPr>
            <w:tcW w:w="1980" w:type="dxa"/>
          </w:tcPr>
          <w:p w14:paraId="1F670B3C" w14:textId="77777777" w:rsidR="00C2595D" w:rsidRDefault="00C2595D" w:rsidP="00C2595D">
            <w:pPr>
              <w:jc w:val="center"/>
            </w:pPr>
            <w:r>
              <w:t>14” x 14”</w:t>
            </w:r>
          </w:p>
        </w:tc>
        <w:tc>
          <w:tcPr>
            <w:tcW w:w="1980" w:type="dxa"/>
          </w:tcPr>
          <w:p w14:paraId="4F26C58D" w14:textId="77777777" w:rsidR="00C2595D" w:rsidRDefault="00C2595D" w:rsidP="00C2595D">
            <w:pPr>
              <w:jc w:val="center"/>
            </w:pPr>
            <w:r>
              <w:t>8.8</w:t>
            </w:r>
          </w:p>
        </w:tc>
        <w:tc>
          <w:tcPr>
            <w:tcW w:w="1980" w:type="dxa"/>
          </w:tcPr>
          <w:p w14:paraId="1D759A60" w14:textId="77777777" w:rsidR="00C2595D" w:rsidRDefault="00C2595D" w:rsidP="00C2595D">
            <w:pPr>
              <w:jc w:val="center"/>
            </w:pPr>
            <w:r>
              <w:t>0.7</w:t>
            </w:r>
          </w:p>
        </w:tc>
      </w:tr>
      <w:tr w:rsidR="00C2595D" w14:paraId="66E61362" w14:textId="77777777" w:rsidTr="00C2595D">
        <w:trPr>
          <w:jc w:val="center"/>
        </w:trPr>
        <w:tc>
          <w:tcPr>
            <w:tcW w:w="2785" w:type="dxa"/>
          </w:tcPr>
          <w:p w14:paraId="5600568D" w14:textId="77777777" w:rsidR="00C2595D" w:rsidRDefault="00C2595D" w:rsidP="00C2595D">
            <w:r>
              <w:t>Guided (G)</w:t>
            </w:r>
          </w:p>
        </w:tc>
        <w:tc>
          <w:tcPr>
            <w:tcW w:w="1980" w:type="dxa"/>
          </w:tcPr>
          <w:p w14:paraId="66054EA4" w14:textId="77777777" w:rsidR="00C2595D" w:rsidRDefault="00C2595D" w:rsidP="00C2595D">
            <w:pPr>
              <w:jc w:val="center"/>
            </w:pPr>
            <w:r>
              <w:t>14” x 14”</w:t>
            </w:r>
          </w:p>
        </w:tc>
        <w:tc>
          <w:tcPr>
            <w:tcW w:w="1980" w:type="dxa"/>
          </w:tcPr>
          <w:p w14:paraId="74A6C73C" w14:textId="77777777" w:rsidR="00C2595D" w:rsidRDefault="00C2595D" w:rsidP="00C2595D">
            <w:pPr>
              <w:jc w:val="center"/>
            </w:pPr>
            <w:r>
              <w:t>2.0</w:t>
            </w:r>
          </w:p>
        </w:tc>
        <w:tc>
          <w:tcPr>
            <w:tcW w:w="1980" w:type="dxa"/>
          </w:tcPr>
          <w:p w14:paraId="3D364AF3" w14:textId="77777777" w:rsidR="00C2595D" w:rsidRDefault="00C2595D" w:rsidP="00C2595D">
            <w:pPr>
              <w:jc w:val="center"/>
            </w:pPr>
            <w:r>
              <w:t>0.5</w:t>
            </w:r>
          </w:p>
        </w:tc>
      </w:tr>
      <w:tr w:rsidR="00C2595D" w14:paraId="76F1F02A" w14:textId="77777777" w:rsidTr="00C2595D">
        <w:trPr>
          <w:jc w:val="center"/>
        </w:trPr>
        <w:tc>
          <w:tcPr>
            <w:tcW w:w="2785" w:type="dxa"/>
          </w:tcPr>
          <w:p w14:paraId="23827EE7" w14:textId="77777777" w:rsidR="00C2595D" w:rsidRDefault="00C2595D" w:rsidP="00C2595D">
            <w:r>
              <w:t>Alternative Guided (AG)</w:t>
            </w:r>
          </w:p>
        </w:tc>
        <w:tc>
          <w:tcPr>
            <w:tcW w:w="1980" w:type="dxa"/>
          </w:tcPr>
          <w:p w14:paraId="604B37C3" w14:textId="77777777" w:rsidR="00C2595D" w:rsidRDefault="00C2595D" w:rsidP="00C2595D">
            <w:pPr>
              <w:jc w:val="center"/>
            </w:pPr>
            <w:r>
              <w:t>14” x 14”</w:t>
            </w:r>
          </w:p>
        </w:tc>
        <w:tc>
          <w:tcPr>
            <w:tcW w:w="1980" w:type="dxa"/>
          </w:tcPr>
          <w:p w14:paraId="40A7177F" w14:textId="77777777" w:rsidR="00C2595D" w:rsidRDefault="00C2595D" w:rsidP="00C2595D">
            <w:pPr>
              <w:jc w:val="center"/>
            </w:pPr>
            <w:r>
              <w:t>9.8</w:t>
            </w:r>
          </w:p>
        </w:tc>
        <w:tc>
          <w:tcPr>
            <w:tcW w:w="1980" w:type="dxa"/>
          </w:tcPr>
          <w:p w14:paraId="653D2CF0" w14:textId="77777777" w:rsidR="00C2595D" w:rsidRDefault="00C2595D" w:rsidP="00C2595D">
            <w:pPr>
              <w:jc w:val="center"/>
            </w:pPr>
            <w:r>
              <w:t>1.2</w:t>
            </w:r>
          </w:p>
        </w:tc>
      </w:tr>
    </w:tbl>
    <w:p w14:paraId="00B106AD" w14:textId="178690C1" w:rsidR="00C2595D" w:rsidRDefault="00136FDD" w:rsidP="00136FDD">
      <w:pPr>
        <w:ind w:left="720"/>
        <w:rPr>
          <w:i/>
          <w:sz w:val="20"/>
        </w:rPr>
      </w:pPr>
      <w:r w:rsidRPr="00136FDD">
        <w:rPr>
          <w:i/>
          <w:sz w:val="20"/>
          <w:vertAlign w:val="superscript"/>
        </w:rPr>
        <w:t>*</w:t>
      </w:r>
      <w:r w:rsidRPr="00136FDD">
        <w:rPr>
          <w:i/>
          <w:sz w:val="20"/>
        </w:rPr>
        <w:t>Anchor bolts are located 1.5” in from each edge near the 4 corners of the base plate.</w:t>
      </w:r>
    </w:p>
    <w:p w14:paraId="206BF07E" w14:textId="304A1498" w:rsidR="00D55397" w:rsidRPr="00D55397" w:rsidRDefault="00D55397" w:rsidP="00BE0FCD"/>
    <w:p w14:paraId="4ECCFE64" w14:textId="5F6A6C36" w:rsidR="00BE0FCD" w:rsidRDefault="00D55397" w:rsidP="00BE0FCD">
      <w:r>
        <w:t xml:space="preserve">Since all of the cases in </w:t>
      </w:r>
      <w:r>
        <w:fldChar w:fldCharType="begin"/>
      </w:r>
      <w:r>
        <w:instrText xml:space="preserve"> REF _Ref50453310 \h </w:instrText>
      </w:r>
      <w:r w:rsidR="00BE0FCD">
        <w:instrText xml:space="preserve"> \* MERGEFORMAT </w:instrText>
      </w:r>
      <w:r>
        <w:fldChar w:fldCharType="separate"/>
      </w:r>
      <w:r w:rsidR="00102C1B">
        <w:t xml:space="preserve">Table </w:t>
      </w:r>
      <w:r w:rsidR="00102C1B">
        <w:rPr>
          <w:noProof/>
        </w:rPr>
        <w:t>8</w:t>
      </w:r>
      <w:r>
        <w:fldChar w:fldCharType="end"/>
      </w:r>
      <w:r>
        <w:t xml:space="preserve"> involve only 4 bolts equidistant from the center of the support, the anchor reaction forces can be estimated by a simple moment balance to first order</w:t>
      </w:r>
      <w:r w:rsidR="00BE0FCD">
        <w:t xml:space="preserve"> (i.e. the system is approximately determinant)</w:t>
      </w:r>
      <w:r>
        <w:t xml:space="preserve">. </w:t>
      </w:r>
      <w:r w:rsidR="00BE0FCD">
        <w:t>However, w</w:t>
      </w:r>
      <w:r>
        <w:t xml:space="preserve">hen intermediate anchor bolt positions are added, such as shown in </w:t>
      </w:r>
      <w:r w:rsidR="00BE0FCD">
        <w:fldChar w:fldCharType="begin"/>
      </w:r>
      <w:r w:rsidR="00BE0FCD">
        <w:instrText xml:space="preserve"> REF _Ref46576650 \h </w:instrText>
      </w:r>
      <w:r w:rsidR="00BE0FCD">
        <w:fldChar w:fldCharType="separate"/>
      </w:r>
      <w:r w:rsidR="00102C1B">
        <w:t xml:space="preserve">Figure </w:t>
      </w:r>
      <w:r w:rsidR="00102C1B">
        <w:rPr>
          <w:noProof/>
        </w:rPr>
        <w:t>5</w:t>
      </w:r>
      <w:r w:rsidR="00BE0FCD">
        <w:fldChar w:fldCharType="end"/>
      </w:r>
      <w:r w:rsidR="00BE0FCD">
        <w:t xml:space="preserve"> with 8 bolts, then the stiffness of the base determines the distribution of reaction forces. A thick base plate (1” thickness was used in the models) with triangular bracing (also 1” thick) was used in the model. This ensures that all floor anchor reaction forces were (approximately) in proportion to their distance from the support center. </w:t>
      </w:r>
    </w:p>
    <w:p w14:paraId="35296FAC" w14:textId="20AA9212" w:rsidR="00BE0FCD" w:rsidRDefault="00BE0FCD" w:rsidP="00BE0FCD">
      <w:r>
        <w:t xml:space="preserve">The resistance (strength) of the concrete embedded anchors decreases as the separation between anchors decreases due to the potential for the concrete cracking between anchors. A separation </w:t>
      </w:r>
      <w:r>
        <w:lastRenderedPageBreak/>
        <w:t xml:space="preserve">distance of 11” is a practical limit. For this reason smaller baseplates with more anchor bolts is not a practical design alternative to the recommended baseplate design (see section </w:t>
      </w:r>
      <w:r>
        <w:fldChar w:fldCharType="begin"/>
      </w:r>
      <w:r>
        <w:instrText xml:space="preserve"> REF _Ref50583350 \r \h </w:instrText>
      </w:r>
      <w:r>
        <w:fldChar w:fldCharType="separate"/>
      </w:r>
      <w:r w:rsidR="00102C1B">
        <w:t>4</w:t>
      </w:r>
      <w:r>
        <w:fldChar w:fldCharType="end"/>
      </w:r>
      <w:r>
        <w:t>).</w:t>
      </w:r>
    </w:p>
    <w:p w14:paraId="2504E044" w14:textId="632247CD" w:rsidR="00D55397" w:rsidRPr="00D55397" w:rsidRDefault="00BE0FCD" w:rsidP="00BE0FCD">
      <w:r>
        <w:t xml:space="preserve"> </w:t>
      </w:r>
    </w:p>
    <w:tbl>
      <w:tblPr>
        <w:tblStyle w:val="TableGrid"/>
        <w:tblW w:w="9590" w:type="dxa"/>
        <w:tblLayout w:type="fixed"/>
        <w:tblLook w:val="06A0" w:firstRow="1" w:lastRow="0" w:firstColumn="1" w:lastColumn="0" w:noHBand="1" w:noVBand="1"/>
      </w:tblPr>
      <w:tblGrid>
        <w:gridCol w:w="4795"/>
        <w:gridCol w:w="4795"/>
      </w:tblGrid>
      <w:tr w:rsidR="00D55397" w14:paraId="1EE58C53" w14:textId="77777777" w:rsidTr="00BE0FCD">
        <w:tc>
          <w:tcPr>
            <w:tcW w:w="4795" w:type="dxa"/>
            <w:tcBorders>
              <w:top w:val="single" w:sz="4" w:space="0" w:color="auto"/>
              <w:left w:val="single" w:sz="4" w:space="0" w:color="auto"/>
              <w:bottom w:val="single" w:sz="4" w:space="0" w:color="auto"/>
              <w:right w:val="nil"/>
            </w:tcBorders>
          </w:tcPr>
          <w:p w14:paraId="73617904" w14:textId="77777777" w:rsidR="00D55397" w:rsidRPr="00BE0FCD" w:rsidRDefault="00D55397" w:rsidP="00BE0FCD">
            <w:pPr>
              <w:rPr>
                <w:i/>
                <w:sz w:val="18"/>
              </w:rPr>
            </w:pPr>
            <w:r w:rsidRPr="00BE0FCD">
              <w:rPr>
                <w:noProof/>
                <w:sz w:val="18"/>
              </w:rPr>
              <w:drawing>
                <wp:inline distT="0" distB="0" distL="0" distR="0" wp14:anchorId="1C250C6E" wp14:editId="545AA4B0">
                  <wp:extent cx="2804160" cy="21709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0298" cy="2175715"/>
                          </a:xfrm>
                          <a:prstGeom prst="rect">
                            <a:avLst/>
                          </a:prstGeom>
                        </pic:spPr>
                      </pic:pic>
                    </a:graphicData>
                  </a:graphic>
                </wp:inline>
              </w:drawing>
            </w:r>
          </w:p>
          <w:p w14:paraId="2F34F81A" w14:textId="778389B1" w:rsidR="00BE0FCD" w:rsidRPr="00BE0FCD" w:rsidRDefault="00BE0FCD" w:rsidP="00BE0FCD">
            <w:pPr>
              <w:pStyle w:val="ListParagraph"/>
              <w:numPr>
                <w:ilvl w:val="0"/>
                <w:numId w:val="27"/>
              </w:numPr>
              <w:rPr>
                <w:sz w:val="18"/>
              </w:rPr>
            </w:pPr>
            <w:r w:rsidRPr="00BE0FCD">
              <w:rPr>
                <w:i/>
                <w:sz w:val="18"/>
              </w:rPr>
              <w:t>Stiffened against moments from an axial FCT load</w:t>
            </w:r>
            <w:r>
              <w:rPr>
                <w:i/>
                <w:sz w:val="18"/>
              </w:rPr>
              <w:t xml:space="preserve"> - displacement</w:t>
            </w:r>
          </w:p>
        </w:tc>
        <w:tc>
          <w:tcPr>
            <w:tcW w:w="4795" w:type="dxa"/>
            <w:tcBorders>
              <w:top w:val="single" w:sz="4" w:space="0" w:color="auto"/>
              <w:left w:val="nil"/>
              <w:bottom w:val="single" w:sz="4" w:space="0" w:color="auto"/>
              <w:right w:val="single" w:sz="4" w:space="0" w:color="auto"/>
            </w:tcBorders>
          </w:tcPr>
          <w:p w14:paraId="1E1ECE85" w14:textId="77777777" w:rsidR="00D55397" w:rsidRDefault="00D55397" w:rsidP="00BE0FCD">
            <w:r>
              <w:rPr>
                <w:noProof/>
              </w:rPr>
              <w:drawing>
                <wp:inline distT="0" distB="0" distL="0" distR="0" wp14:anchorId="346CCDC7" wp14:editId="4D1F1CF7">
                  <wp:extent cx="2796540" cy="219212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9123" cy="2194152"/>
                          </a:xfrm>
                          <a:prstGeom prst="rect">
                            <a:avLst/>
                          </a:prstGeom>
                        </pic:spPr>
                      </pic:pic>
                    </a:graphicData>
                  </a:graphic>
                </wp:inline>
              </w:drawing>
            </w:r>
          </w:p>
        </w:tc>
      </w:tr>
      <w:tr w:rsidR="00D55397" w14:paraId="7E3E021F" w14:textId="77777777" w:rsidTr="00BE0FCD">
        <w:tc>
          <w:tcPr>
            <w:tcW w:w="4795" w:type="dxa"/>
            <w:tcBorders>
              <w:top w:val="single" w:sz="4" w:space="0" w:color="auto"/>
              <w:left w:val="single" w:sz="4" w:space="0" w:color="auto"/>
              <w:bottom w:val="single" w:sz="4" w:space="0" w:color="auto"/>
              <w:right w:val="nil"/>
            </w:tcBorders>
          </w:tcPr>
          <w:p w14:paraId="7B7E395E" w14:textId="77777777" w:rsidR="00D55397" w:rsidRPr="00BE0FCD" w:rsidRDefault="00D55397" w:rsidP="00BE0FCD">
            <w:pPr>
              <w:rPr>
                <w:sz w:val="18"/>
                <w:szCs w:val="18"/>
              </w:rPr>
            </w:pPr>
            <w:r w:rsidRPr="00BE0FCD">
              <w:rPr>
                <w:noProof/>
                <w:sz w:val="18"/>
                <w:szCs w:val="18"/>
              </w:rPr>
              <w:drawing>
                <wp:inline distT="0" distB="0" distL="0" distR="0" wp14:anchorId="3DA7091F" wp14:editId="4C15B87D">
                  <wp:extent cx="2750820" cy="22006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5723" cy="2212578"/>
                          </a:xfrm>
                          <a:prstGeom prst="rect">
                            <a:avLst/>
                          </a:prstGeom>
                        </pic:spPr>
                      </pic:pic>
                    </a:graphicData>
                  </a:graphic>
                </wp:inline>
              </w:drawing>
            </w:r>
          </w:p>
          <w:p w14:paraId="674514FB" w14:textId="37D6AE97" w:rsidR="00BE0FCD" w:rsidRPr="00BE0FCD" w:rsidRDefault="00BE0FCD" w:rsidP="00BE0FCD">
            <w:pPr>
              <w:pStyle w:val="ListParagraph"/>
              <w:numPr>
                <w:ilvl w:val="0"/>
                <w:numId w:val="27"/>
              </w:numPr>
              <w:rPr>
                <w:i/>
                <w:sz w:val="18"/>
                <w:szCs w:val="18"/>
              </w:rPr>
            </w:pPr>
            <w:r w:rsidRPr="00BE0FCD">
              <w:rPr>
                <w:i/>
                <w:sz w:val="18"/>
                <w:szCs w:val="18"/>
              </w:rPr>
              <w:t xml:space="preserve">No stiffening </w:t>
            </w:r>
            <w:r>
              <w:rPr>
                <w:i/>
                <w:sz w:val="18"/>
                <w:szCs w:val="18"/>
              </w:rPr>
              <w:t>–</w:t>
            </w:r>
            <w:r w:rsidRPr="00BE0FCD">
              <w:rPr>
                <w:i/>
                <w:sz w:val="18"/>
                <w:szCs w:val="18"/>
              </w:rPr>
              <w:t xml:space="preserve"> displacement</w:t>
            </w:r>
            <w:r>
              <w:rPr>
                <w:i/>
                <w:sz w:val="18"/>
                <w:szCs w:val="18"/>
              </w:rPr>
              <w:t xml:space="preserve"> under axial FCT load</w:t>
            </w:r>
          </w:p>
        </w:tc>
        <w:tc>
          <w:tcPr>
            <w:tcW w:w="4795" w:type="dxa"/>
            <w:tcBorders>
              <w:top w:val="single" w:sz="4" w:space="0" w:color="auto"/>
              <w:left w:val="nil"/>
              <w:bottom w:val="single" w:sz="4" w:space="0" w:color="auto"/>
              <w:right w:val="single" w:sz="4" w:space="0" w:color="auto"/>
            </w:tcBorders>
          </w:tcPr>
          <w:p w14:paraId="6042D04D" w14:textId="77777777" w:rsidR="00D55397" w:rsidRDefault="00D55397" w:rsidP="00BE0FCD">
            <w:r>
              <w:rPr>
                <w:noProof/>
              </w:rPr>
              <w:drawing>
                <wp:inline distT="0" distB="0" distL="0" distR="0" wp14:anchorId="78535F29" wp14:editId="31769A3D">
                  <wp:extent cx="2804160" cy="21619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5896" cy="2163255"/>
                          </a:xfrm>
                          <a:prstGeom prst="rect">
                            <a:avLst/>
                          </a:prstGeom>
                        </pic:spPr>
                      </pic:pic>
                    </a:graphicData>
                  </a:graphic>
                </wp:inline>
              </w:drawing>
            </w:r>
          </w:p>
        </w:tc>
      </w:tr>
    </w:tbl>
    <w:p w14:paraId="604824E1" w14:textId="6C90DE64" w:rsidR="00D55397" w:rsidRDefault="00D55397" w:rsidP="00D55397">
      <w:pPr>
        <w:pStyle w:val="Caption"/>
      </w:pPr>
      <w:bookmarkStart w:id="50" w:name="_Ref46576650"/>
      <w:bookmarkStart w:id="51" w:name="_Toc50585546"/>
      <w:r>
        <w:t xml:space="preserve">Figure </w:t>
      </w:r>
      <w:r>
        <w:fldChar w:fldCharType="begin"/>
      </w:r>
      <w:r>
        <w:instrText xml:space="preserve"> SEQ Figure \* ARABIC </w:instrText>
      </w:r>
      <w:r>
        <w:fldChar w:fldCharType="separate"/>
      </w:r>
      <w:r w:rsidR="00102C1B">
        <w:rPr>
          <w:noProof/>
        </w:rPr>
        <w:t>5</w:t>
      </w:r>
      <w:r>
        <w:rPr>
          <w:noProof/>
        </w:rPr>
        <w:fldChar w:fldCharType="end"/>
      </w:r>
      <w:bookmarkEnd w:id="50"/>
      <w:r>
        <w:t xml:space="preserve">  Stiffened support base results in improved load transfer to the anchor bolts</w:t>
      </w:r>
      <w:bookmarkEnd w:id="51"/>
    </w:p>
    <w:p w14:paraId="4ABBA7E6" w14:textId="77777777" w:rsidR="00D55397" w:rsidRPr="003466F7" w:rsidRDefault="00D55397" w:rsidP="00D55397">
      <w:pPr>
        <w:rPr>
          <w:i/>
          <w:sz w:val="20"/>
        </w:rPr>
      </w:pPr>
      <w:r w:rsidRPr="00B91315">
        <w:rPr>
          <w:i/>
          <w:sz w:val="20"/>
        </w:rPr>
        <w:t>Stiffening the base improves load transfer to the bolts at the end of the support plate to react against moments imposed by vacuum and axial earthquake loading (reduces maximum anchor bolt tension from 17.2 kN to 5.7 kN). Stiffened but only corner bolts: max tension is 7.6 kN</w:t>
      </w:r>
    </w:p>
    <w:p w14:paraId="7BFDEFDD" w14:textId="77777777" w:rsidR="00D55397" w:rsidRPr="00136FDD" w:rsidRDefault="00D55397" w:rsidP="00D55397">
      <w:pPr>
        <w:rPr>
          <w:i/>
          <w:sz w:val="20"/>
        </w:rPr>
      </w:pPr>
    </w:p>
    <w:p w14:paraId="3192B026" w14:textId="77777777" w:rsidR="007E27E8" w:rsidRPr="001B5061" w:rsidRDefault="007E27E8" w:rsidP="001B5061"/>
    <w:p w14:paraId="601DA916" w14:textId="77777777" w:rsidR="0028011A" w:rsidRDefault="0028011A" w:rsidP="0028011A">
      <w:pPr>
        <w:sectPr w:rsidR="0028011A" w:rsidSect="003516AD">
          <w:pgSz w:w="12240" w:h="15840" w:code="1"/>
          <w:pgMar w:top="1440" w:right="1325" w:bottom="1440" w:left="1325" w:header="720" w:footer="720" w:gutter="0"/>
          <w:cols w:space="720"/>
        </w:sectPr>
      </w:pPr>
    </w:p>
    <w:p w14:paraId="4C5AE5E8" w14:textId="6CB2B3EA" w:rsidR="00B8294F" w:rsidRDefault="00B8294F" w:rsidP="0028011A">
      <w:r w:rsidRPr="00B8294F">
        <w:lastRenderedPageBreak/>
        <w:drawing>
          <wp:inline distT="0" distB="0" distL="0" distR="0" wp14:anchorId="69A6806D" wp14:editId="07F4E9B8">
            <wp:extent cx="8229600" cy="2545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42838" cy="2580666"/>
                    </a:xfrm>
                    <a:prstGeom prst="rect">
                      <a:avLst/>
                    </a:prstGeom>
                    <a:noFill/>
                    <a:ln>
                      <a:noFill/>
                    </a:ln>
                  </pic:spPr>
                </pic:pic>
              </a:graphicData>
            </a:graphic>
          </wp:inline>
        </w:drawing>
      </w:r>
    </w:p>
    <w:p w14:paraId="1EAD1644" w14:textId="3F9936C2" w:rsidR="00B8294F" w:rsidRDefault="00B8294F" w:rsidP="00B8294F">
      <w:pPr>
        <w:pStyle w:val="Caption"/>
      </w:pPr>
      <w:bookmarkStart w:id="52" w:name="_Ref50396716"/>
      <w:bookmarkStart w:id="53" w:name="_Toc50585547"/>
      <w:r>
        <w:t xml:space="preserve">Figure </w:t>
      </w:r>
      <w:r>
        <w:fldChar w:fldCharType="begin"/>
      </w:r>
      <w:r>
        <w:instrText xml:space="preserve"> SEQ Figure \* ARABIC </w:instrText>
      </w:r>
      <w:r>
        <w:fldChar w:fldCharType="separate"/>
      </w:r>
      <w:r w:rsidR="00102C1B">
        <w:rPr>
          <w:noProof/>
        </w:rPr>
        <w:t>6</w:t>
      </w:r>
      <w:r>
        <w:fldChar w:fldCharType="end"/>
      </w:r>
      <w:bookmarkEnd w:id="52"/>
      <w:r>
        <w:t xml:space="preserve">  Simple beam representation of a typical, repeating module of FCT (section FCT-C)</w:t>
      </w:r>
      <w:bookmarkEnd w:id="53"/>
    </w:p>
    <w:p w14:paraId="5A4D80DD" w14:textId="4628F10A" w:rsidR="00C46673" w:rsidRDefault="00C46673" w:rsidP="0028011A">
      <w:pPr>
        <w:rPr>
          <w:sz w:val="20"/>
        </w:rPr>
      </w:pPr>
      <w:r>
        <w:rPr>
          <w:sz w:val="20"/>
        </w:rPr>
        <w:t>Overall length is approximately 64 ft. The 20 ft. tube lengths (</w:t>
      </w:r>
      <w:hyperlink r:id="rId47" w:history="1">
        <w:r w:rsidRPr="00C46673">
          <w:rPr>
            <w:rStyle w:val="Hyperlink"/>
            <w:sz w:val="20"/>
          </w:rPr>
          <w:t>LIGO-D1900443</w:t>
        </w:r>
      </w:hyperlink>
      <w:r>
        <w:rPr>
          <w:sz w:val="20"/>
        </w:rPr>
        <w:t>, type 01) are 10” OD, .12” thick walled AISI 304 tube.</w:t>
      </w:r>
    </w:p>
    <w:p w14:paraId="7EC8AB1A" w14:textId="3E624067" w:rsidR="00B8294F" w:rsidRPr="00C46673" w:rsidRDefault="00B8294F" w:rsidP="0028011A">
      <w:pPr>
        <w:rPr>
          <w:sz w:val="20"/>
        </w:rPr>
      </w:pPr>
      <w:r w:rsidRPr="00C46673">
        <w:rPr>
          <w:sz w:val="20"/>
        </w:rPr>
        <w:t xml:space="preserve">CF = </w:t>
      </w:r>
      <w:r w:rsidR="009258C3" w:rsidRPr="00C46673">
        <w:rPr>
          <w:sz w:val="20"/>
        </w:rPr>
        <w:t xml:space="preserve">bolted </w:t>
      </w:r>
      <w:r w:rsidRPr="00C46673">
        <w:rPr>
          <w:sz w:val="20"/>
        </w:rPr>
        <w:t xml:space="preserve">Conflat </w:t>
      </w:r>
      <w:r w:rsidR="009258C3" w:rsidRPr="00C46673">
        <w:rPr>
          <w:sz w:val="20"/>
        </w:rPr>
        <w:t xml:space="preserve">flange pair joint; </w:t>
      </w:r>
      <w:r w:rsidRPr="00C46673">
        <w:rPr>
          <w:sz w:val="20"/>
        </w:rPr>
        <w:t xml:space="preserve">no mass or stiffness representation; the tube is assumed continuous </w:t>
      </w:r>
      <w:r w:rsidR="009258C3" w:rsidRPr="00C46673">
        <w:rPr>
          <w:sz w:val="20"/>
        </w:rPr>
        <w:t>(</w:t>
      </w:r>
      <w:r w:rsidRPr="00C46673">
        <w:rPr>
          <w:sz w:val="20"/>
        </w:rPr>
        <w:t>‘welded’) at CF joints.</w:t>
      </w:r>
    </w:p>
    <w:p w14:paraId="56DC9A47" w14:textId="102FEAF7" w:rsidR="00B8294F" w:rsidRPr="00C46673" w:rsidRDefault="00B8294F" w:rsidP="0028011A">
      <w:pPr>
        <w:rPr>
          <w:sz w:val="20"/>
        </w:rPr>
      </w:pPr>
      <w:r w:rsidRPr="00C46673">
        <w:rPr>
          <w:sz w:val="20"/>
        </w:rPr>
        <w:t>The Gate Valve</w:t>
      </w:r>
      <w:r w:rsidR="009258C3" w:rsidRPr="00C46673">
        <w:rPr>
          <w:sz w:val="20"/>
        </w:rPr>
        <w:t>,</w:t>
      </w:r>
      <w:r w:rsidRPr="00C46673">
        <w:rPr>
          <w:sz w:val="20"/>
        </w:rPr>
        <w:t xml:space="preserve"> which is installed in some modules between the expansion joint and the Fixed/Gated Supports</w:t>
      </w:r>
      <w:r w:rsidR="009258C3" w:rsidRPr="00C46673">
        <w:rPr>
          <w:sz w:val="20"/>
        </w:rPr>
        <w:t>,</w:t>
      </w:r>
      <w:r w:rsidRPr="00C46673">
        <w:rPr>
          <w:sz w:val="20"/>
        </w:rPr>
        <w:t xml:space="preserve"> </w:t>
      </w:r>
      <w:r w:rsidR="009258C3" w:rsidRPr="00C46673">
        <w:rPr>
          <w:sz w:val="20"/>
        </w:rPr>
        <w:t xml:space="preserve">is not in this model. The Gate Valve adds just ~4 inches of length and </w:t>
      </w:r>
      <w:r w:rsidR="00927A10">
        <w:rPr>
          <w:sz w:val="20"/>
        </w:rPr>
        <w:t>~51</w:t>
      </w:r>
      <w:r w:rsidR="009258C3" w:rsidRPr="00C46673">
        <w:rPr>
          <w:sz w:val="20"/>
        </w:rPr>
        <w:t xml:space="preserve"> </w:t>
      </w:r>
      <w:r w:rsidR="00927A10">
        <w:rPr>
          <w:sz w:val="20"/>
        </w:rPr>
        <w:t>k</w:t>
      </w:r>
      <w:r w:rsidR="009258C3" w:rsidRPr="00C46673">
        <w:rPr>
          <w:sz w:val="20"/>
        </w:rPr>
        <w:t>g of mass.</w:t>
      </w:r>
      <w:r w:rsidRPr="00C46673">
        <w:rPr>
          <w:sz w:val="20"/>
        </w:rPr>
        <w:t xml:space="preserve"> </w:t>
      </w:r>
    </w:p>
    <w:p w14:paraId="2C1CAB09" w14:textId="358A5D7B" w:rsidR="00B8294F" w:rsidRPr="00C46673" w:rsidRDefault="00B8294F" w:rsidP="0028011A">
      <w:pPr>
        <w:rPr>
          <w:sz w:val="20"/>
        </w:rPr>
      </w:pPr>
      <w:r w:rsidRPr="00C46673">
        <w:rPr>
          <w:sz w:val="20"/>
        </w:rPr>
        <w:t>The expansion joint is represented as a spring with the following spring rates</w:t>
      </w:r>
      <w:r w:rsidR="00927A10">
        <w:rPr>
          <w:sz w:val="20"/>
        </w:rPr>
        <w:t>,</w:t>
      </w:r>
      <w:r w:rsidR="009258C3" w:rsidRPr="00C46673">
        <w:rPr>
          <w:sz w:val="20"/>
        </w:rPr>
        <w:t xml:space="preserve"> as well as </w:t>
      </w:r>
      <w:r w:rsidR="00927A10">
        <w:rPr>
          <w:sz w:val="20"/>
        </w:rPr>
        <w:t>2</w:t>
      </w:r>
      <w:r w:rsidR="009258C3" w:rsidRPr="00C46673">
        <w:rPr>
          <w:sz w:val="20"/>
        </w:rPr>
        <w:t xml:space="preserve"> kg of discrete mass</w:t>
      </w:r>
      <w:r w:rsidR="00927A10">
        <w:rPr>
          <w:sz w:val="20"/>
        </w:rPr>
        <w:t xml:space="preserve"> for the missing convolutions</w:t>
      </w:r>
      <w:r w:rsidRPr="00C46673">
        <w:rPr>
          <w:sz w:val="20"/>
        </w:rPr>
        <w:t>:</w:t>
      </w:r>
    </w:p>
    <w:p w14:paraId="2E734715" w14:textId="24CCF226" w:rsidR="00B8294F" w:rsidRPr="00C46673" w:rsidRDefault="00B8294F" w:rsidP="00C46673">
      <w:pPr>
        <w:spacing w:before="0"/>
        <w:rPr>
          <w:sz w:val="20"/>
        </w:rPr>
      </w:pPr>
      <w:r w:rsidRPr="00C46673">
        <w:rPr>
          <w:sz w:val="20"/>
        </w:rPr>
        <w:t xml:space="preserve">Axial stiffness </w:t>
      </w:r>
      <w:r w:rsidR="00927A10">
        <w:rPr>
          <w:sz w:val="20"/>
        </w:rPr>
        <w:t xml:space="preserve">= </w:t>
      </w:r>
      <w:r w:rsidR="00927A10" w:rsidRPr="00927A10">
        <w:rPr>
          <w:sz w:val="20"/>
        </w:rPr>
        <w:t>33,381 N/m (191 lbf/in)</w:t>
      </w:r>
    </w:p>
    <w:p w14:paraId="2FC3B66F" w14:textId="3C646371" w:rsidR="00B8294F" w:rsidRPr="00C46673" w:rsidRDefault="00B8294F" w:rsidP="00C46673">
      <w:pPr>
        <w:spacing w:before="0"/>
        <w:rPr>
          <w:sz w:val="20"/>
        </w:rPr>
      </w:pPr>
      <w:r w:rsidRPr="00C46673">
        <w:rPr>
          <w:sz w:val="20"/>
        </w:rPr>
        <w:t xml:space="preserve">Lateral </w:t>
      </w:r>
      <w:r w:rsidR="00927A10">
        <w:rPr>
          <w:sz w:val="20"/>
        </w:rPr>
        <w:t xml:space="preserve">(horizontal and vertical) </w:t>
      </w:r>
      <w:r w:rsidRPr="00C46673">
        <w:rPr>
          <w:sz w:val="20"/>
        </w:rPr>
        <w:t xml:space="preserve">stiffness = </w:t>
      </w:r>
      <w:r w:rsidR="00927A10" w:rsidRPr="00927A10">
        <w:rPr>
          <w:sz w:val="20"/>
        </w:rPr>
        <w:t>125,979 N/m</w:t>
      </w:r>
    </w:p>
    <w:p w14:paraId="32FA7EF2" w14:textId="1AEDFDE8" w:rsidR="00B8294F" w:rsidRPr="00C46673" w:rsidRDefault="00B8294F" w:rsidP="00C46673">
      <w:pPr>
        <w:spacing w:before="0"/>
        <w:rPr>
          <w:sz w:val="20"/>
        </w:rPr>
      </w:pPr>
      <w:r w:rsidRPr="00C46673">
        <w:rPr>
          <w:sz w:val="20"/>
        </w:rPr>
        <w:t xml:space="preserve">Torsional stiffness = </w:t>
      </w:r>
      <w:r w:rsidR="00927A10" w:rsidRPr="00927A10">
        <w:rPr>
          <w:sz w:val="20"/>
        </w:rPr>
        <w:t>425,782 N/rad</w:t>
      </w:r>
    </w:p>
    <w:p w14:paraId="2198FE22" w14:textId="5C28086F" w:rsidR="00B8294F" w:rsidRPr="00C46673" w:rsidRDefault="009258C3" w:rsidP="0028011A">
      <w:pPr>
        <w:rPr>
          <w:sz w:val="20"/>
        </w:rPr>
      </w:pPr>
      <w:r w:rsidRPr="00C46673">
        <w:rPr>
          <w:sz w:val="20"/>
        </w:rPr>
        <w:t xml:space="preserve">The 6-way cross, and attached vacuum equipment, is represented as a 10” OD tube of 14” length with </w:t>
      </w:r>
      <w:r w:rsidR="00927A10">
        <w:rPr>
          <w:sz w:val="20"/>
        </w:rPr>
        <w:t>132.5</w:t>
      </w:r>
      <w:r w:rsidRPr="00C46673">
        <w:rPr>
          <w:sz w:val="20"/>
        </w:rPr>
        <w:t xml:space="preserve"> kg of discrete mass.</w:t>
      </w:r>
    </w:p>
    <w:p w14:paraId="228BBF21" w14:textId="0B4724E9" w:rsidR="009258C3" w:rsidRPr="00C46673" w:rsidRDefault="009258C3" w:rsidP="0028011A">
      <w:pPr>
        <w:rPr>
          <w:sz w:val="20"/>
        </w:rPr>
      </w:pPr>
      <w:r w:rsidRPr="00C46673">
        <w:rPr>
          <w:sz w:val="20"/>
        </w:rPr>
        <w:t>Fixed boundary conditions a</w:t>
      </w:r>
      <w:r w:rsidR="00927A10">
        <w:rPr>
          <w:sz w:val="20"/>
        </w:rPr>
        <w:t>p</w:t>
      </w:r>
      <w:r w:rsidRPr="00C46673">
        <w:rPr>
          <w:sz w:val="20"/>
        </w:rPr>
        <w:t>ply at the end adjacent to the expansion joint, as well as at the opposite end. These boundaries correspond to Fixed (F) or Fixed/Gated (F/G) Supports</w:t>
      </w:r>
      <w:r w:rsidR="00C46673" w:rsidRPr="00C46673">
        <w:rPr>
          <w:sz w:val="20"/>
        </w:rPr>
        <w:t>.</w:t>
      </w:r>
    </w:p>
    <w:p w14:paraId="3FE200C9" w14:textId="385ACF67" w:rsidR="00C46673" w:rsidRPr="00C46673" w:rsidRDefault="00C46673" w:rsidP="0028011A">
      <w:pPr>
        <w:rPr>
          <w:sz w:val="20"/>
        </w:rPr>
      </w:pPr>
      <w:r w:rsidRPr="00C46673">
        <w:rPr>
          <w:sz w:val="20"/>
        </w:rPr>
        <w:t xml:space="preserve">At each of the 4 Guided (G) Supports the displacement is only free in the axial direction. </w:t>
      </w:r>
    </w:p>
    <w:p w14:paraId="6CEC989E" w14:textId="4CC8BF2C" w:rsidR="0028011A" w:rsidRDefault="0028011A" w:rsidP="0028011A">
      <w:r>
        <w:rPr>
          <w:noProof/>
        </w:rPr>
        <w:lastRenderedPageBreak/>
        <w:drawing>
          <wp:inline distT="0" distB="0" distL="0" distR="0" wp14:anchorId="6DB6AF7C" wp14:editId="4A893D23">
            <wp:extent cx="8229600" cy="1876425"/>
            <wp:effectExtent l="0" t="0" r="0" b="0"/>
            <wp:docPr id="499319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229600" cy="1876425"/>
                    </a:xfrm>
                    <a:prstGeom prst="rect">
                      <a:avLst/>
                    </a:prstGeom>
                  </pic:spPr>
                </pic:pic>
              </a:graphicData>
            </a:graphic>
          </wp:inline>
        </w:drawing>
      </w:r>
    </w:p>
    <w:p w14:paraId="4BA7C741" w14:textId="77777777" w:rsidR="0028011A" w:rsidRDefault="0028011A" w:rsidP="0028011A">
      <w:r>
        <w:rPr>
          <w:noProof/>
        </w:rPr>
        <w:drawing>
          <wp:inline distT="0" distB="0" distL="0" distR="0" wp14:anchorId="39E595DC" wp14:editId="6413063B">
            <wp:extent cx="8229600" cy="1562100"/>
            <wp:effectExtent l="0" t="0" r="0" b="0"/>
            <wp:docPr id="64877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8229600" cy="1562100"/>
                    </a:xfrm>
                    <a:prstGeom prst="rect">
                      <a:avLst/>
                    </a:prstGeom>
                  </pic:spPr>
                </pic:pic>
              </a:graphicData>
            </a:graphic>
          </wp:inline>
        </w:drawing>
      </w:r>
    </w:p>
    <w:p w14:paraId="7E93EB24" w14:textId="6EFEDE5E" w:rsidR="0028011A" w:rsidRDefault="001B5061" w:rsidP="001B5061">
      <w:pPr>
        <w:pStyle w:val="Caption"/>
      </w:pPr>
      <w:bookmarkStart w:id="54" w:name="_Ref45476230"/>
      <w:bookmarkStart w:id="55" w:name="_Toc50585548"/>
      <w:r>
        <w:t xml:space="preserve">Figure </w:t>
      </w:r>
      <w:r>
        <w:fldChar w:fldCharType="begin"/>
      </w:r>
      <w:r>
        <w:instrText>SEQ Figure \* ARABIC</w:instrText>
      </w:r>
      <w:r>
        <w:fldChar w:fldCharType="separate"/>
      </w:r>
      <w:r w:rsidR="00102C1B">
        <w:rPr>
          <w:noProof/>
        </w:rPr>
        <w:t>7</w:t>
      </w:r>
      <w:r>
        <w:fldChar w:fldCharType="end"/>
      </w:r>
      <w:bookmarkEnd w:id="54"/>
      <w:r w:rsidR="0028011A">
        <w:t xml:space="preserve">  An idealized, representative/typical section of the FCT (beam analysis)</w:t>
      </w:r>
      <w:r w:rsidR="007E27E8">
        <w:t xml:space="preserve"> and the deformed geometry under gravity loading</w:t>
      </w:r>
      <w:bookmarkEnd w:id="55"/>
    </w:p>
    <w:p w14:paraId="2C5DFBE0" w14:textId="77777777" w:rsidR="00A16558" w:rsidRDefault="00A16558" w:rsidP="00BE2986">
      <w:pPr>
        <w:sectPr w:rsidR="00A16558" w:rsidSect="001B5061">
          <w:pgSz w:w="15840" w:h="12240" w:orient="landscape" w:code="1"/>
          <w:pgMar w:top="1325" w:right="1440" w:bottom="1325" w:left="1440" w:header="720" w:footer="720" w:gutter="0"/>
          <w:cols w:space="720"/>
        </w:sectPr>
      </w:pPr>
    </w:p>
    <w:p w14:paraId="35542F2F" w14:textId="2EF90D94" w:rsidR="00BE2986" w:rsidRDefault="00A16558" w:rsidP="00A16558">
      <w:pPr>
        <w:jc w:val="center"/>
      </w:pPr>
      <w:r>
        <w:rPr>
          <w:noProof/>
        </w:rPr>
        <w:lastRenderedPageBreak/>
        <w:drawing>
          <wp:inline distT="0" distB="0" distL="0" distR="0" wp14:anchorId="7F1C3936" wp14:editId="4A969248">
            <wp:extent cx="2903220" cy="4740657"/>
            <wp:effectExtent l="0" t="0" r="0" b="3175"/>
            <wp:docPr id="3"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a:blip r:embed="rId50"/>
                    <a:stretch>
                      <a:fillRect/>
                    </a:stretch>
                  </pic:blipFill>
                  <pic:spPr>
                    <a:xfrm>
                      <a:off x="0" y="0"/>
                      <a:ext cx="2904370" cy="4742534"/>
                    </a:xfrm>
                    <a:prstGeom prst="rect">
                      <a:avLst/>
                    </a:prstGeom>
                  </pic:spPr>
                </pic:pic>
              </a:graphicData>
            </a:graphic>
          </wp:inline>
        </w:drawing>
      </w:r>
    </w:p>
    <w:p w14:paraId="238AA542" w14:textId="4919EFC2" w:rsidR="00A16558" w:rsidRPr="00BE2986" w:rsidRDefault="00A16558" w:rsidP="00A16558">
      <w:pPr>
        <w:pStyle w:val="Caption"/>
      </w:pPr>
      <w:bookmarkStart w:id="56" w:name="_Ref50448564"/>
      <w:bookmarkStart w:id="57" w:name="_Toc50585549"/>
      <w:r>
        <w:t xml:space="preserve">Figure </w:t>
      </w:r>
      <w:r>
        <w:fldChar w:fldCharType="begin"/>
      </w:r>
      <w:r>
        <w:instrText xml:space="preserve"> SEQ Figure \* ARABIC </w:instrText>
      </w:r>
      <w:r>
        <w:fldChar w:fldCharType="separate"/>
      </w:r>
      <w:r w:rsidR="00102C1B">
        <w:rPr>
          <w:noProof/>
        </w:rPr>
        <w:t>8</w:t>
      </w:r>
      <w:r>
        <w:fldChar w:fldCharType="end"/>
      </w:r>
      <w:bookmarkEnd w:id="56"/>
      <w:r>
        <w:t xml:space="preserve">  FEM of a Support with a 36” by 17” base, welded stiffeners and 8 anchor bolts</w:t>
      </w:r>
      <w:bookmarkEnd w:id="57"/>
    </w:p>
    <w:p w14:paraId="5DEACAA0" w14:textId="0442CDCA" w:rsidR="00A16558" w:rsidRDefault="00A16558">
      <w:pPr>
        <w:spacing w:before="0"/>
        <w:jc w:val="left"/>
      </w:pPr>
    </w:p>
    <w:p w14:paraId="4920ADE0" w14:textId="77777777" w:rsidR="00A16558" w:rsidRDefault="00A16558">
      <w:pPr>
        <w:spacing w:before="0"/>
        <w:jc w:val="left"/>
        <w:sectPr w:rsidR="00A16558" w:rsidSect="00A16558">
          <w:pgSz w:w="12240" w:h="15840" w:code="1"/>
          <w:pgMar w:top="1440" w:right="1325" w:bottom="1440" w:left="1325" w:header="720" w:footer="720" w:gutter="0"/>
          <w:cols w:space="720"/>
          <w:docGrid w:linePitch="326"/>
        </w:sectPr>
      </w:pPr>
    </w:p>
    <w:p w14:paraId="1FD84050" w14:textId="1F6D4094" w:rsidR="00A16558" w:rsidRDefault="00A16558">
      <w:pPr>
        <w:spacing w:before="0"/>
        <w:jc w:val="left"/>
      </w:pPr>
    </w:p>
    <w:p w14:paraId="04B7A622" w14:textId="7610CC10" w:rsidR="1CE0BD4E" w:rsidRDefault="1CE0BD4E" w:rsidP="1193FDBD">
      <w:r>
        <w:rPr>
          <w:noProof/>
        </w:rPr>
        <w:drawing>
          <wp:inline distT="0" distB="0" distL="0" distR="0" wp14:anchorId="50EF4074" wp14:editId="6AB4F125">
            <wp:extent cx="8229600" cy="1685925"/>
            <wp:effectExtent l="0" t="0" r="0" b="0"/>
            <wp:docPr id="1607024165" name="Picture 160702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29600" cy="1685925"/>
                    </a:xfrm>
                    <a:prstGeom prst="rect">
                      <a:avLst/>
                    </a:prstGeom>
                  </pic:spPr>
                </pic:pic>
              </a:graphicData>
            </a:graphic>
          </wp:inline>
        </w:drawing>
      </w:r>
    </w:p>
    <w:p w14:paraId="61334227" w14:textId="77777777" w:rsidR="001B5061" w:rsidRDefault="0028011A" w:rsidP="0028011A">
      <w:pPr>
        <w:pStyle w:val="Caption"/>
      </w:pPr>
      <w:bookmarkStart w:id="58" w:name="_Ref45476306"/>
      <w:r>
        <w:rPr>
          <w:noProof/>
        </w:rPr>
        <w:drawing>
          <wp:inline distT="0" distB="0" distL="0" distR="0" wp14:anchorId="03353B75" wp14:editId="112D2894">
            <wp:extent cx="8229600" cy="2857500"/>
            <wp:effectExtent l="0" t="0" r="0" b="0"/>
            <wp:docPr id="6476239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2">
                      <a:extLst>
                        <a:ext uri="{28A0092B-C50C-407E-A947-70E740481C1C}">
                          <a14:useLocalDpi xmlns:a14="http://schemas.microsoft.com/office/drawing/2010/main" val="0"/>
                        </a:ext>
                      </a:extLst>
                    </a:blip>
                    <a:stretch>
                      <a:fillRect/>
                    </a:stretch>
                  </pic:blipFill>
                  <pic:spPr>
                    <a:xfrm>
                      <a:off x="0" y="0"/>
                      <a:ext cx="8229600" cy="2857500"/>
                    </a:xfrm>
                    <a:prstGeom prst="rect">
                      <a:avLst/>
                    </a:prstGeom>
                  </pic:spPr>
                </pic:pic>
              </a:graphicData>
            </a:graphic>
          </wp:inline>
        </w:drawing>
      </w:r>
    </w:p>
    <w:p w14:paraId="6C315F20" w14:textId="6CB9E266" w:rsidR="0028011A" w:rsidRDefault="0028011A" w:rsidP="0028011A">
      <w:pPr>
        <w:pStyle w:val="Caption"/>
      </w:pPr>
      <w:bookmarkStart w:id="59" w:name="_Ref45476372"/>
      <w:bookmarkStart w:id="60" w:name="_Toc50585550"/>
      <w:r>
        <w:t xml:space="preserve">Figure </w:t>
      </w:r>
      <w:r>
        <w:fldChar w:fldCharType="begin"/>
      </w:r>
      <w:r>
        <w:instrText>SEQ Figure \* ARABIC</w:instrText>
      </w:r>
      <w:r>
        <w:fldChar w:fldCharType="separate"/>
      </w:r>
      <w:r w:rsidR="00102C1B">
        <w:rPr>
          <w:noProof/>
        </w:rPr>
        <w:t>9</w:t>
      </w:r>
      <w:r>
        <w:fldChar w:fldCharType="end"/>
      </w:r>
      <w:bookmarkEnd w:id="58"/>
      <w:bookmarkEnd w:id="59"/>
      <w:r>
        <w:t xml:space="preserve">  </w:t>
      </w:r>
      <w:r w:rsidR="00544708">
        <w:t>FCT Support instances/types in the</w:t>
      </w:r>
      <w:r>
        <w:t xml:space="preserve"> representative</w:t>
      </w:r>
      <w:r w:rsidR="00544708">
        <w:t xml:space="preserve"> and</w:t>
      </w:r>
      <w:r>
        <w:t xml:space="preserve"> repeating </w:t>
      </w:r>
      <w:r w:rsidR="00544708">
        <w:t>sub-assemblies</w:t>
      </w:r>
      <w:r>
        <w:t xml:space="preserve"> of the FCT</w:t>
      </w:r>
      <w:bookmarkEnd w:id="60"/>
    </w:p>
    <w:p w14:paraId="5663689C" w14:textId="77777777" w:rsidR="00544708" w:rsidRPr="001B5061" w:rsidRDefault="00544708" w:rsidP="00544708">
      <w:pPr>
        <w:rPr>
          <w:i/>
          <w:sz w:val="20"/>
        </w:rPr>
      </w:pPr>
      <w:r w:rsidRPr="001B5061">
        <w:rPr>
          <w:i/>
          <w:sz w:val="20"/>
        </w:rPr>
        <w:t>Couldn’t get the “linear periodic” symmetry condition to work in Ansys, so using two sections between fixed end conditions. Based on Saint-Venant’s principle, the reaction loads for the supports distant from the ends should be representative.</w:t>
      </w:r>
    </w:p>
    <w:p w14:paraId="5A58BC06" w14:textId="3EB11DC9" w:rsidR="0028011A" w:rsidRPr="00544708" w:rsidRDefault="00544708" w:rsidP="00544708">
      <w:pPr>
        <w:rPr>
          <w:i/>
          <w:sz w:val="20"/>
        </w:rPr>
      </w:pPr>
      <w:r w:rsidRPr="00544708">
        <w:rPr>
          <w:i/>
          <w:sz w:val="20"/>
        </w:rPr>
        <w:t xml:space="preserve"> A, B, C and D are Guided Supports. E is a Fixed Support. Only the reaction forces for the supports in the center of this model (distant from the end conditions) are used to evaluate loads on the anchors.</w:t>
      </w:r>
    </w:p>
    <w:p w14:paraId="1932061A" w14:textId="77777777" w:rsidR="0028011A" w:rsidRDefault="0028011A" w:rsidP="0028011A">
      <w:r>
        <w:br w:type="page"/>
      </w:r>
    </w:p>
    <w:p w14:paraId="2F20D7B5" w14:textId="77777777" w:rsidR="0028011A" w:rsidRDefault="0028011A" w:rsidP="0028011A"/>
    <w:p w14:paraId="1A000071" w14:textId="77777777" w:rsidR="0028011A" w:rsidRDefault="0028011A" w:rsidP="0028011A">
      <w:r>
        <w:rPr>
          <w:noProof/>
        </w:rPr>
        <w:drawing>
          <wp:inline distT="0" distB="0" distL="0" distR="0" wp14:anchorId="4A07CB2F" wp14:editId="10737EA0">
            <wp:extent cx="8229600" cy="2059305"/>
            <wp:effectExtent l="0" t="0" r="0" b="0"/>
            <wp:docPr id="267288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8229600" cy="2059305"/>
                    </a:xfrm>
                    <a:prstGeom prst="rect">
                      <a:avLst/>
                    </a:prstGeom>
                  </pic:spPr>
                </pic:pic>
              </a:graphicData>
            </a:graphic>
          </wp:inline>
        </w:drawing>
      </w:r>
    </w:p>
    <w:p w14:paraId="0D1D9FAF" w14:textId="655E8D2E" w:rsidR="0028011A" w:rsidRDefault="0028011A" w:rsidP="0028011A">
      <w:pPr>
        <w:pStyle w:val="Caption"/>
      </w:pPr>
      <w:bookmarkStart w:id="61" w:name="_Ref45476819"/>
      <w:bookmarkStart w:id="62" w:name="_Toc50585551"/>
      <w:r>
        <w:t xml:space="preserve">Figure </w:t>
      </w:r>
      <w:r>
        <w:fldChar w:fldCharType="begin"/>
      </w:r>
      <w:r>
        <w:instrText>SEQ Figure \* ARABIC</w:instrText>
      </w:r>
      <w:r>
        <w:fldChar w:fldCharType="separate"/>
      </w:r>
      <w:r w:rsidR="00102C1B">
        <w:rPr>
          <w:noProof/>
        </w:rPr>
        <w:t>10</w:t>
      </w:r>
      <w:r>
        <w:fldChar w:fldCharType="end"/>
      </w:r>
      <w:bookmarkEnd w:id="61"/>
      <w:r>
        <w:t xml:space="preserve">  Gravitational load and lateral seismic, static-equivalent load</w:t>
      </w:r>
      <w:bookmarkEnd w:id="62"/>
    </w:p>
    <w:p w14:paraId="4483ABA1" w14:textId="77777777" w:rsidR="0028011A" w:rsidRDefault="0028011A" w:rsidP="0028011A"/>
    <w:p w14:paraId="0A5C1C07" w14:textId="77777777" w:rsidR="0028011A" w:rsidRDefault="0028011A" w:rsidP="0028011A"/>
    <w:p w14:paraId="0AABF889" w14:textId="77777777" w:rsidR="0028011A" w:rsidRDefault="0028011A" w:rsidP="0028011A"/>
    <w:p w14:paraId="026A57E5" w14:textId="77777777" w:rsidR="0028011A" w:rsidRDefault="0028011A" w:rsidP="0028011A">
      <w:r>
        <w:rPr>
          <w:noProof/>
        </w:rPr>
        <w:drawing>
          <wp:inline distT="0" distB="0" distL="0" distR="0" wp14:anchorId="3C7CBB5A" wp14:editId="1154D2B6">
            <wp:extent cx="8229600" cy="1610995"/>
            <wp:effectExtent l="0" t="0" r="0" b="8255"/>
            <wp:docPr id="1909089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
                      <a:extLst>
                        <a:ext uri="{28A0092B-C50C-407E-A947-70E740481C1C}">
                          <a14:useLocalDpi xmlns:a14="http://schemas.microsoft.com/office/drawing/2010/main" val="0"/>
                        </a:ext>
                      </a:extLst>
                    </a:blip>
                    <a:stretch>
                      <a:fillRect/>
                    </a:stretch>
                  </pic:blipFill>
                  <pic:spPr>
                    <a:xfrm>
                      <a:off x="0" y="0"/>
                      <a:ext cx="8229600" cy="1610995"/>
                    </a:xfrm>
                    <a:prstGeom prst="rect">
                      <a:avLst/>
                    </a:prstGeom>
                  </pic:spPr>
                </pic:pic>
              </a:graphicData>
            </a:graphic>
          </wp:inline>
        </w:drawing>
      </w:r>
    </w:p>
    <w:p w14:paraId="44BAA18A" w14:textId="3E61DE39" w:rsidR="0028011A" w:rsidRDefault="0028011A" w:rsidP="0028011A">
      <w:pPr>
        <w:pStyle w:val="Caption"/>
      </w:pPr>
      <w:bookmarkStart w:id="63" w:name="_Ref45476832"/>
      <w:bookmarkStart w:id="64" w:name="_Toc5058555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02C1B">
        <w:rPr>
          <w:noProof/>
        </w:rPr>
        <w:t>11</w:t>
      </w:r>
      <w:r>
        <w:rPr>
          <w:color w:val="2B579A"/>
          <w:shd w:val="clear" w:color="auto" w:fill="E6E6E6"/>
        </w:rPr>
        <w:fldChar w:fldCharType="end"/>
      </w:r>
      <w:bookmarkEnd w:id="63"/>
      <w:r>
        <w:t xml:space="preserve">  Gravitational load and longitudinal seismic, static-equivalent load</w:t>
      </w:r>
      <w:bookmarkEnd w:id="64"/>
      <w:r>
        <w:t xml:space="preserve"> </w:t>
      </w:r>
    </w:p>
    <w:p w14:paraId="1C950246" w14:textId="77777777" w:rsidR="001B5061" w:rsidRPr="001B5061" w:rsidRDefault="001B5061" w:rsidP="001B5061"/>
    <w:p w14:paraId="7963C6A9" w14:textId="77777777" w:rsidR="001B5061" w:rsidRDefault="001B5061" w:rsidP="0028011A">
      <w:pPr>
        <w:sectPr w:rsidR="001B5061" w:rsidSect="001B5061">
          <w:pgSz w:w="15840" w:h="12240" w:orient="landscape" w:code="1"/>
          <w:pgMar w:top="1325" w:right="1440" w:bottom="1325" w:left="1440" w:header="720" w:footer="720" w:gutter="0"/>
          <w:cols w:space="720"/>
        </w:sectPr>
      </w:pPr>
    </w:p>
    <w:p w14:paraId="7DCBB8D8" w14:textId="3A88E6F1" w:rsidR="003D7EAC" w:rsidRDefault="000849FC" w:rsidP="003D7EAC">
      <w:pPr>
        <w:pStyle w:val="Heading1"/>
      </w:pPr>
      <w:bookmarkStart w:id="65" w:name="_Ref44678166"/>
      <w:bookmarkStart w:id="66" w:name="_Ref46579334"/>
      <w:bookmarkStart w:id="67" w:name="_Toc50585532"/>
      <w:r>
        <w:lastRenderedPageBreak/>
        <w:t>A</w:t>
      </w:r>
      <w:r w:rsidR="00A16558">
        <w:t>SD</w:t>
      </w:r>
      <w:r>
        <w:t xml:space="preserve"> l</w:t>
      </w:r>
      <w:r w:rsidR="003D7EAC">
        <w:t xml:space="preserve">oad </w:t>
      </w:r>
      <w:bookmarkEnd w:id="65"/>
      <w:r>
        <w:t>analysis</w:t>
      </w:r>
      <w:bookmarkEnd w:id="66"/>
      <w:bookmarkEnd w:id="67"/>
    </w:p>
    <w:p w14:paraId="2D6F1589" w14:textId="78CA4D24" w:rsidR="00BE0FCD" w:rsidRDefault="00BE0FCD" w:rsidP="003D7EAC">
      <w:r>
        <w:t>The LFRD load analysis in the previous section is the best determination of loading and floor anchor resistance. An earlier ASD analysis was performed and presented in this section. The conclusions from this analysis in terms of baseplate size and floor anchor size are consistent with the LFRD analysis.</w:t>
      </w:r>
    </w:p>
    <w:p w14:paraId="0B7F2EF5" w14:textId="4EF02648" w:rsidR="003D7EAC" w:rsidRDefault="003D7EAC" w:rsidP="003D7EAC">
      <w:r>
        <w:t>The following</w:t>
      </w:r>
      <w:r w:rsidR="00BE0FCD">
        <w:t xml:space="preserve"> ASD</w:t>
      </w:r>
      <w:r>
        <w:t xml:space="preserve"> load cases have been considered:</w:t>
      </w:r>
    </w:p>
    <w:tbl>
      <w:tblPr>
        <w:tblStyle w:val="TableGrid"/>
        <w:tblW w:w="0" w:type="auto"/>
        <w:tblLook w:val="04A0" w:firstRow="1" w:lastRow="0" w:firstColumn="1" w:lastColumn="0" w:noHBand="0" w:noVBand="1"/>
      </w:tblPr>
      <w:tblGrid>
        <w:gridCol w:w="805"/>
        <w:gridCol w:w="8775"/>
      </w:tblGrid>
      <w:tr w:rsidR="003D7EAC" w:rsidRPr="00473D4F" w14:paraId="3E6F6813" w14:textId="77777777" w:rsidTr="00473D4F">
        <w:tc>
          <w:tcPr>
            <w:tcW w:w="805" w:type="dxa"/>
          </w:tcPr>
          <w:p w14:paraId="2939237A" w14:textId="77777777" w:rsidR="003D7EAC" w:rsidRPr="00473D4F" w:rsidRDefault="003D7EAC" w:rsidP="00EA151A">
            <w:r w:rsidRPr="00473D4F">
              <w:t>G</w:t>
            </w:r>
          </w:p>
        </w:tc>
        <w:tc>
          <w:tcPr>
            <w:tcW w:w="8775" w:type="dxa"/>
          </w:tcPr>
          <w:p w14:paraId="1012DB30" w14:textId="77777777" w:rsidR="003D7EAC" w:rsidRPr="00473D4F" w:rsidRDefault="003D7EAC" w:rsidP="00EA151A">
            <w:r w:rsidRPr="00473D4F">
              <w:t>± gravitational load</w:t>
            </w:r>
          </w:p>
        </w:tc>
      </w:tr>
      <w:tr w:rsidR="003D7EAC" w:rsidRPr="00473D4F" w14:paraId="19ADCF23" w14:textId="77777777" w:rsidTr="00473D4F">
        <w:tc>
          <w:tcPr>
            <w:tcW w:w="805" w:type="dxa"/>
          </w:tcPr>
          <w:p w14:paraId="52F87E1D" w14:textId="77777777" w:rsidR="003D7EAC" w:rsidRPr="00473D4F" w:rsidRDefault="003D7EAC" w:rsidP="00EA151A">
            <w:r w:rsidRPr="00473D4F">
              <w:t>LEQ</w:t>
            </w:r>
          </w:p>
        </w:tc>
        <w:tc>
          <w:tcPr>
            <w:tcW w:w="8775" w:type="dxa"/>
          </w:tcPr>
          <w:p w14:paraId="220AF6E1" w14:textId="77777777" w:rsidR="003D7EAC" w:rsidRPr="00473D4F" w:rsidRDefault="003D7EAC" w:rsidP="00EA151A">
            <w:r w:rsidRPr="00473D4F">
              <w:t>± Lateral earthquake</w:t>
            </w:r>
          </w:p>
        </w:tc>
      </w:tr>
      <w:tr w:rsidR="003D7EAC" w:rsidRPr="00473D4F" w14:paraId="0CA6E1B2" w14:textId="77777777" w:rsidTr="00473D4F">
        <w:tc>
          <w:tcPr>
            <w:tcW w:w="805" w:type="dxa"/>
          </w:tcPr>
          <w:p w14:paraId="3BF02A70" w14:textId="77777777" w:rsidR="003D7EAC" w:rsidRPr="00473D4F" w:rsidRDefault="003D7EAC" w:rsidP="00EA151A">
            <w:r w:rsidRPr="00473D4F">
              <w:t>AEQ</w:t>
            </w:r>
          </w:p>
        </w:tc>
        <w:tc>
          <w:tcPr>
            <w:tcW w:w="8775" w:type="dxa"/>
          </w:tcPr>
          <w:p w14:paraId="0798D16C" w14:textId="77777777" w:rsidR="003D7EAC" w:rsidRPr="00473D4F" w:rsidRDefault="003D7EAC" w:rsidP="00EA151A">
            <w:r w:rsidRPr="00473D4F">
              <w:t>± Axial earthquake</w:t>
            </w:r>
          </w:p>
        </w:tc>
      </w:tr>
      <w:tr w:rsidR="003D7EAC" w:rsidRPr="00473D4F" w14:paraId="3A42AAE5" w14:textId="77777777" w:rsidTr="00473D4F">
        <w:tc>
          <w:tcPr>
            <w:tcW w:w="805" w:type="dxa"/>
          </w:tcPr>
          <w:p w14:paraId="792D2BBF" w14:textId="77777777" w:rsidR="003D7EAC" w:rsidRPr="00473D4F" w:rsidRDefault="003D7EAC" w:rsidP="00EA151A">
            <w:r w:rsidRPr="00473D4F">
              <w:t>EJ</w:t>
            </w:r>
          </w:p>
        </w:tc>
        <w:tc>
          <w:tcPr>
            <w:tcW w:w="8775" w:type="dxa"/>
          </w:tcPr>
          <w:p w14:paraId="54F44688" w14:textId="77777777" w:rsidR="003D7EAC" w:rsidRPr="00473D4F" w:rsidRDefault="003D7EAC" w:rsidP="00EA151A">
            <w:r w:rsidRPr="00473D4F">
              <w:t>± Expansion joint loads due to assembly tolerances, alignment and diurnal temperature range</w:t>
            </w:r>
          </w:p>
        </w:tc>
      </w:tr>
      <w:tr w:rsidR="003D7EAC" w:rsidRPr="00473D4F" w14:paraId="492FA64B" w14:textId="77777777" w:rsidTr="00473D4F">
        <w:tc>
          <w:tcPr>
            <w:tcW w:w="805" w:type="dxa"/>
          </w:tcPr>
          <w:p w14:paraId="2AA2E4B7" w14:textId="77777777" w:rsidR="003D7EAC" w:rsidRPr="00473D4F" w:rsidRDefault="003D7EAC" w:rsidP="00EA151A">
            <w:r w:rsidRPr="00473D4F">
              <w:t>V</w:t>
            </w:r>
          </w:p>
        </w:tc>
        <w:tc>
          <w:tcPr>
            <w:tcW w:w="8775" w:type="dxa"/>
          </w:tcPr>
          <w:p w14:paraId="462D0BEF" w14:textId="77777777" w:rsidR="003D7EAC" w:rsidRPr="00473D4F" w:rsidRDefault="003D7EAC" w:rsidP="00EA151A">
            <w:r w:rsidRPr="00473D4F">
              <w:t>atmospheric pressure loading when sections are under vacuum</w:t>
            </w:r>
          </w:p>
        </w:tc>
      </w:tr>
      <w:tr w:rsidR="003D7EAC" w:rsidRPr="00473D4F" w14:paraId="3B5C42CC" w14:textId="77777777" w:rsidTr="00473D4F">
        <w:tc>
          <w:tcPr>
            <w:tcW w:w="805" w:type="dxa"/>
          </w:tcPr>
          <w:p w14:paraId="440B5640" w14:textId="77777777" w:rsidR="003D7EAC" w:rsidRPr="00473D4F" w:rsidRDefault="003D7EAC" w:rsidP="00EA151A">
            <w:r w:rsidRPr="00473D4F">
              <w:t>BO</w:t>
            </w:r>
          </w:p>
        </w:tc>
        <w:tc>
          <w:tcPr>
            <w:tcW w:w="8775" w:type="dxa"/>
          </w:tcPr>
          <w:p w14:paraId="01F8A846" w14:textId="77777777" w:rsidR="003D7EAC" w:rsidRPr="00473D4F" w:rsidRDefault="003D7EAC" w:rsidP="00EA151A">
            <w:r w:rsidRPr="00473D4F">
              <w:t>bake out at 200C induces expansion joint forces (occurs only when section is under vacuum)</w:t>
            </w:r>
          </w:p>
        </w:tc>
      </w:tr>
    </w:tbl>
    <w:p w14:paraId="5D7B5CE2" w14:textId="77777777" w:rsidR="003D7EAC" w:rsidRDefault="003D7EAC" w:rsidP="003D7EAC">
      <w:r>
        <w:t>The following 12 load case combinations were considered:</w:t>
      </w:r>
    </w:p>
    <w:p w14:paraId="60A73399" w14:textId="77777777" w:rsidR="003D7EAC" w:rsidRDefault="003D7EAC" w:rsidP="003D7EAC">
      <w:pPr>
        <w:pStyle w:val="ListParagraph"/>
        <w:numPr>
          <w:ilvl w:val="0"/>
          <w:numId w:val="8"/>
        </w:numPr>
      </w:pPr>
      <w:r>
        <w:t>G ± LEQ ±EJ</w:t>
      </w:r>
    </w:p>
    <w:p w14:paraId="09736B32" w14:textId="77777777" w:rsidR="003D7EAC" w:rsidRDefault="003D7EAC" w:rsidP="003D7EAC">
      <w:pPr>
        <w:pStyle w:val="ListParagraph"/>
        <w:numPr>
          <w:ilvl w:val="0"/>
          <w:numId w:val="8"/>
        </w:numPr>
      </w:pPr>
      <w:r>
        <w:t>G ± LEQ ± EJ ± V</w:t>
      </w:r>
    </w:p>
    <w:p w14:paraId="2BE4253F" w14:textId="77777777" w:rsidR="003D7EAC" w:rsidRDefault="003D7EAC" w:rsidP="003D7EAC">
      <w:pPr>
        <w:pStyle w:val="ListParagraph"/>
        <w:numPr>
          <w:ilvl w:val="0"/>
          <w:numId w:val="8"/>
        </w:numPr>
      </w:pPr>
      <w:r>
        <w:t>G ± LEQ ± EJ ± (V-BO)</w:t>
      </w:r>
    </w:p>
    <w:p w14:paraId="6A75B1AF" w14:textId="77777777" w:rsidR="003D7EAC" w:rsidRDefault="003D7EAC" w:rsidP="003D7EAC">
      <w:pPr>
        <w:pStyle w:val="ListParagraph"/>
        <w:numPr>
          <w:ilvl w:val="0"/>
          <w:numId w:val="8"/>
        </w:numPr>
      </w:pPr>
      <w:r>
        <w:t>G ± LEQ ±EJ</w:t>
      </w:r>
    </w:p>
    <w:p w14:paraId="402E7192" w14:textId="77777777" w:rsidR="003D7EAC" w:rsidRDefault="003D7EAC" w:rsidP="003D7EAC">
      <w:pPr>
        <w:pStyle w:val="ListParagraph"/>
        <w:numPr>
          <w:ilvl w:val="0"/>
          <w:numId w:val="8"/>
        </w:numPr>
      </w:pPr>
      <w:r>
        <w:t>G ± LEQ ± EJ ± V</w:t>
      </w:r>
    </w:p>
    <w:p w14:paraId="50C7D690" w14:textId="77777777" w:rsidR="003D7EAC" w:rsidRDefault="003D7EAC" w:rsidP="003D7EAC">
      <w:pPr>
        <w:pStyle w:val="ListParagraph"/>
        <w:numPr>
          <w:ilvl w:val="0"/>
          <w:numId w:val="8"/>
        </w:numPr>
      </w:pPr>
      <w:r>
        <w:t>G ± LEQ ± EJ ± (V-BO)</w:t>
      </w:r>
    </w:p>
    <w:p w14:paraId="1D7F3B11" w14:textId="62FE5880" w:rsidR="003D7EAC" w:rsidRDefault="003D7EAC" w:rsidP="003D7EAC">
      <w:r>
        <w:t>Since the bakeout (BO) loads are less than the vacuum loads, and in the opposite direction, we can ignore the two combinations which include the bakeout, for the purpose of calculating maximum loads on the supports. (Of course the bake out must be taken into account in the design of the bellows motion range requirements.)</w:t>
      </w:r>
    </w:p>
    <w:p w14:paraId="52960489" w14:textId="7F8FD1AE" w:rsidR="00F6776B" w:rsidRDefault="00F6776B" w:rsidP="003D7EAC">
      <w:r>
        <w:t>The 3D finite element model (</w:t>
      </w:r>
      <w:r>
        <w:fldChar w:fldCharType="begin"/>
      </w:r>
      <w:r>
        <w:instrText xml:space="preserve"> REF _Ref45476372 \h </w:instrText>
      </w:r>
      <w:r>
        <w:fldChar w:fldCharType="separate"/>
      </w:r>
      <w:r w:rsidR="00102C1B">
        <w:t xml:space="preserve">Figure </w:t>
      </w:r>
      <w:r w:rsidR="00102C1B">
        <w:rPr>
          <w:noProof/>
        </w:rPr>
        <w:t>9</w:t>
      </w:r>
      <w:r>
        <w:fldChar w:fldCharType="end"/>
      </w:r>
      <w:r>
        <w:t xml:space="preserve"> ) starts with a representative/typical repeating section (as was used in the analysis of ground vibration transmission to the FCT baffles in </w:t>
      </w:r>
      <w:hyperlink r:id="rId55" w:history="1">
        <w:r>
          <w:rPr>
            <w:rStyle w:val="Hyperlink"/>
          </w:rPr>
          <w:t>LIGO-T2000280</w:t>
        </w:r>
      </w:hyperlink>
      <w:r>
        <w:t>). Ideally a linear periodic symmetry condition would be used in the model, but I was not able to get this option to work in Ansys. As an alternative two representative sections were modeled between fixed boundary conditions. Based on Saint-Venant’s principle the loads on the bases of the FCT supports which are distant from the end conditions should not be significantly affected by this approximation.</w:t>
      </w:r>
    </w:p>
    <w:p w14:paraId="5816F159" w14:textId="77777777" w:rsidR="0081327A" w:rsidRDefault="0081327A" w:rsidP="0081327A">
      <w:r>
        <w:t>The Guided Support (G) and Alternative Guided (AG) Support models approximate the sliding constraint at the interface of the cylinder with the pipe shoe, not at the base of the shoe.</w:t>
      </w:r>
    </w:p>
    <w:p w14:paraId="65766907" w14:textId="4CCC8D46" w:rsidR="003D7EAC" w:rsidRDefault="0081327A" w:rsidP="003D7EAC">
      <w:r>
        <w:t xml:space="preserve">Deformed geometry for lateral and axial seismic loading are shown in </w:t>
      </w:r>
      <w:r>
        <w:fldChar w:fldCharType="begin"/>
      </w:r>
      <w:r>
        <w:instrText xml:space="preserve"> REF _Ref45476819 \h </w:instrText>
      </w:r>
      <w:r>
        <w:fldChar w:fldCharType="separate"/>
      </w:r>
      <w:r w:rsidR="00102C1B">
        <w:t xml:space="preserve">Figure </w:t>
      </w:r>
      <w:r w:rsidR="00102C1B">
        <w:rPr>
          <w:noProof/>
        </w:rPr>
        <w:t>10</w:t>
      </w:r>
      <w:r>
        <w:fldChar w:fldCharType="end"/>
      </w:r>
      <w:r>
        <w:t xml:space="preserve"> and </w:t>
      </w:r>
      <w:r>
        <w:fldChar w:fldCharType="begin"/>
      </w:r>
      <w:r>
        <w:instrText xml:space="preserve"> REF _Ref45476832 \h </w:instrText>
      </w:r>
      <w:r>
        <w:fldChar w:fldCharType="separate"/>
      </w:r>
      <w:r w:rsidR="00102C1B">
        <w:t xml:space="preserve">Figure </w:t>
      </w:r>
      <w:r w:rsidR="00102C1B">
        <w:rPr>
          <w:noProof/>
        </w:rPr>
        <w:t>11</w:t>
      </w:r>
      <w:r>
        <w:fldChar w:fldCharType="end"/>
      </w:r>
      <w:r w:rsidR="00BE0FCD">
        <w:t>.</w:t>
      </w:r>
    </w:p>
    <w:p w14:paraId="5005AC93" w14:textId="0A18F355" w:rsidR="0067654E" w:rsidRPr="003516AD" w:rsidRDefault="0067654E" w:rsidP="003D7EAC">
      <w:r>
        <w:t>Results of the ASD analysis were provided in earlier versions of this document.</w:t>
      </w:r>
    </w:p>
    <w:p w14:paraId="1C91EB51" w14:textId="29CF72F0" w:rsidR="75B1DA5D" w:rsidRDefault="29D98AED" w:rsidP="0028011A">
      <w:pPr>
        <w:pStyle w:val="Heading1"/>
      </w:pPr>
      <w:bookmarkStart w:id="68" w:name="_Toc50585533"/>
      <w:r w:rsidRPr="02E751FF">
        <w:lastRenderedPageBreak/>
        <w:t>Beam Tube anchor and slab design for comparison</w:t>
      </w:r>
      <w:bookmarkEnd w:id="68"/>
    </w:p>
    <w:p w14:paraId="5172B872" w14:textId="6DF7E30E" w:rsidR="29D98AED" w:rsidRDefault="29D98AED" w:rsidP="0028011A">
      <w:r w:rsidRPr="02E751FF">
        <w:t xml:space="preserve">The Beam Tube (BT) </w:t>
      </w:r>
      <w:r w:rsidR="4C1DC426" w:rsidRPr="02E751FF">
        <w:t>has fixed support</w:t>
      </w:r>
      <w:r w:rsidR="79BED94B" w:rsidRPr="02E751FF">
        <w:t>s</w:t>
      </w:r>
      <w:r w:rsidR="4C1DC426" w:rsidRPr="02E751FF">
        <w:t xml:space="preserve"> and guided supports along the BT slab. The termination supports are on special slabs within the corner and end station buildings. The fixed support</w:t>
      </w:r>
      <w:r w:rsidR="4AC82459" w:rsidRPr="02E751FF">
        <w:t>s are</w:t>
      </w:r>
      <w:r w:rsidRPr="02E751FF">
        <w:t xml:space="preserve"> anchored with</w:t>
      </w:r>
      <w:r w:rsidR="4B2CCA26" w:rsidRPr="02E751FF">
        <w:t xml:space="preserve"> eight,</w:t>
      </w:r>
      <w:r w:rsidRPr="02E751FF">
        <w:t xml:space="preserve"> 5/8” diamete</w:t>
      </w:r>
      <w:r w:rsidR="4D6E9AAB" w:rsidRPr="02E751FF">
        <w:t xml:space="preserve">r </w:t>
      </w:r>
      <w:r w:rsidRPr="02E751FF">
        <w:t xml:space="preserve">Hilti Kwik Bolt II </w:t>
      </w:r>
      <w:r w:rsidR="3501485F" w:rsidRPr="02E751FF">
        <w:t xml:space="preserve">expansion anchors with an embedment depth of 4”, according to section 3.2 of </w:t>
      </w:r>
      <w:hyperlink r:id="rId56">
        <w:r w:rsidR="3501485F" w:rsidRPr="02E751FF">
          <w:rPr>
            <w:rStyle w:val="Hyperlink"/>
          </w:rPr>
          <w:t>E970033</w:t>
        </w:r>
      </w:hyperlink>
      <w:r w:rsidR="3501485F" w:rsidRPr="02E751FF">
        <w:t xml:space="preserve">-B, </w:t>
      </w:r>
      <w:r w:rsidR="16294754" w:rsidRPr="02E751FF">
        <w:t>“Fabrication/Installation Procedure – Beam Tube Interface with the Beam Tube Slab”.</w:t>
      </w:r>
      <w:r w:rsidR="23B359FD" w:rsidRPr="02E751FF">
        <w:t xml:space="preserve"> </w:t>
      </w:r>
      <w:r w:rsidR="0131E51B" w:rsidRPr="02E751FF">
        <w:t>The guided support</w:t>
      </w:r>
      <w:r w:rsidR="2F56B754" w:rsidRPr="02E751FF">
        <w:t>s are</w:t>
      </w:r>
      <w:r w:rsidR="0131E51B" w:rsidRPr="02E751FF">
        <w:t xml:space="preserve"> anchored with eight, 1/2" diameter Hilti</w:t>
      </w:r>
      <w:r w:rsidR="2DB27663" w:rsidRPr="02E751FF">
        <w:t xml:space="preserve"> HY-150 adhesive anchors with an embedment depth of 4.25”</w:t>
      </w:r>
      <w:r w:rsidR="0801A502" w:rsidRPr="02E751FF">
        <w:t>, according to section 4.2</w:t>
      </w:r>
      <w:r w:rsidR="2DB27663" w:rsidRPr="02E751FF">
        <w:t>.</w:t>
      </w:r>
      <w:r w:rsidR="0131E51B" w:rsidRPr="02E751FF">
        <w:t xml:space="preserve"> </w:t>
      </w:r>
      <w:r w:rsidR="23B359FD" w:rsidRPr="02E751FF">
        <w:t>Th</w:t>
      </w:r>
      <w:r w:rsidR="1E37D609" w:rsidRPr="02E751FF">
        <w:t>ese</w:t>
      </w:r>
      <w:r w:rsidR="23B359FD" w:rsidRPr="02E751FF">
        <w:t xml:space="preserve"> section</w:t>
      </w:r>
      <w:r w:rsidR="13899E11" w:rsidRPr="02E751FF">
        <w:t>s</w:t>
      </w:r>
      <w:r w:rsidR="23B359FD" w:rsidRPr="02E751FF">
        <w:t xml:space="preserve"> also define the</w:t>
      </w:r>
      <w:r w:rsidR="72591622" w:rsidRPr="02E751FF">
        <w:t xml:space="preserve"> minimum slab depth (</w:t>
      </w:r>
      <w:r w:rsidR="07714248" w:rsidRPr="02E751FF">
        <w:t>6”)</w:t>
      </w:r>
      <w:r w:rsidR="37790C92" w:rsidRPr="02E751FF">
        <w:t>, a requirement of 3,000 psi concrete</w:t>
      </w:r>
      <w:r w:rsidR="07714248" w:rsidRPr="02E751FF">
        <w:t xml:space="preserve"> and the maximum loads</w:t>
      </w:r>
      <w:r w:rsidR="7BE07F7D" w:rsidRPr="02E751FF">
        <w:t>, as given in the table below</w:t>
      </w:r>
      <w:r w:rsidR="07714248" w:rsidRPr="02E751FF">
        <w:t>:</w:t>
      </w:r>
    </w:p>
    <w:tbl>
      <w:tblPr>
        <w:tblStyle w:val="TableGrid"/>
        <w:tblW w:w="0" w:type="auto"/>
        <w:tblLayout w:type="fixed"/>
        <w:tblLook w:val="06A0" w:firstRow="1" w:lastRow="0" w:firstColumn="1" w:lastColumn="0" w:noHBand="1" w:noVBand="1"/>
      </w:tblPr>
      <w:tblGrid>
        <w:gridCol w:w="915"/>
        <w:gridCol w:w="3705"/>
        <w:gridCol w:w="2115"/>
        <w:gridCol w:w="2855"/>
      </w:tblGrid>
      <w:tr w:rsidR="02E751FF" w14:paraId="72F7F824" w14:textId="77777777" w:rsidTr="02E751FF">
        <w:tc>
          <w:tcPr>
            <w:tcW w:w="915" w:type="dxa"/>
          </w:tcPr>
          <w:p w14:paraId="53C8F35A" w14:textId="37792374" w:rsidR="02E751FF" w:rsidRDefault="02E751FF" w:rsidP="0028011A"/>
        </w:tc>
        <w:tc>
          <w:tcPr>
            <w:tcW w:w="3705" w:type="dxa"/>
          </w:tcPr>
          <w:p w14:paraId="77BF344A" w14:textId="02F0E3BE" w:rsidR="07714248" w:rsidRDefault="07714248" w:rsidP="0028011A">
            <w:r w:rsidRPr="02E751FF">
              <w:t>axial</w:t>
            </w:r>
          </w:p>
        </w:tc>
        <w:tc>
          <w:tcPr>
            <w:tcW w:w="2115" w:type="dxa"/>
          </w:tcPr>
          <w:p w14:paraId="6E507289" w14:textId="7B13DCB4" w:rsidR="07714248" w:rsidRDefault="07714248" w:rsidP="0028011A">
            <w:r w:rsidRPr="02E751FF">
              <w:t>lateral</w:t>
            </w:r>
          </w:p>
        </w:tc>
        <w:tc>
          <w:tcPr>
            <w:tcW w:w="2855" w:type="dxa"/>
          </w:tcPr>
          <w:p w14:paraId="1A557627" w14:textId="6F10C10B" w:rsidR="07714248" w:rsidRDefault="07714248" w:rsidP="0028011A">
            <w:r w:rsidRPr="02E751FF">
              <w:t>vertical</w:t>
            </w:r>
          </w:p>
        </w:tc>
      </w:tr>
      <w:tr w:rsidR="02E751FF" w14:paraId="22736770" w14:textId="77777777" w:rsidTr="02E751FF">
        <w:tc>
          <w:tcPr>
            <w:tcW w:w="915" w:type="dxa"/>
          </w:tcPr>
          <w:p w14:paraId="0E41CBF5" w14:textId="00896514" w:rsidR="07714248" w:rsidRDefault="07714248" w:rsidP="0028011A">
            <w:r w:rsidRPr="02E751FF">
              <w:t xml:space="preserve">Fixed </w:t>
            </w:r>
          </w:p>
        </w:tc>
        <w:tc>
          <w:tcPr>
            <w:tcW w:w="3705" w:type="dxa"/>
          </w:tcPr>
          <w:p w14:paraId="182B88D0" w14:textId="2AE88536" w:rsidR="07714248" w:rsidRDefault="07714248" w:rsidP="0028011A">
            <w:r w:rsidRPr="02E751FF">
              <w:t>± 8,128 lbf</w:t>
            </w:r>
          </w:p>
          <w:p w14:paraId="535C078E" w14:textId="2199062C" w:rsidR="6CDD4145" w:rsidRDefault="6CDD4145" w:rsidP="0028011A">
            <w:r w:rsidRPr="02E751FF">
              <w:t>at 838 mm below the BT centerline</w:t>
            </w:r>
          </w:p>
        </w:tc>
        <w:tc>
          <w:tcPr>
            <w:tcW w:w="2115" w:type="dxa"/>
          </w:tcPr>
          <w:p w14:paraId="116EC069" w14:textId="0BA63BFD" w:rsidR="07714248" w:rsidRDefault="07714248" w:rsidP="0028011A">
            <w:r w:rsidRPr="02E751FF">
              <w:t>± 2,607</w:t>
            </w:r>
          </w:p>
          <w:p w14:paraId="571CFF14" w14:textId="04354F67" w:rsidR="572CAA9D" w:rsidRDefault="572CAA9D" w:rsidP="0028011A">
            <w:r w:rsidRPr="02E751FF">
              <w:t>at the BT centerline</w:t>
            </w:r>
          </w:p>
        </w:tc>
        <w:tc>
          <w:tcPr>
            <w:tcW w:w="2855" w:type="dxa"/>
          </w:tcPr>
          <w:p w14:paraId="46155658" w14:textId="0E886B54" w:rsidR="07714248" w:rsidRDefault="07714248" w:rsidP="0028011A">
            <w:r w:rsidRPr="02E751FF">
              <w:t>8,948 lbf (downward only)</w:t>
            </w:r>
          </w:p>
          <w:p w14:paraId="17132327" w14:textId="5047336D" w:rsidR="7002027E" w:rsidRDefault="7002027E" w:rsidP="0028011A">
            <w:r w:rsidRPr="02E751FF">
              <w:t>at the BT centerline</w:t>
            </w:r>
          </w:p>
        </w:tc>
      </w:tr>
      <w:tr w:rsidR="02E751FF" w14:paraId="5D48701B" w14:textId="77777777" w:rsidTr="02E751FF">
        <w:tc>
          <w:tcPr>
            <w:tcW w:w="915" w:type="dxa"/>
          </w:tcPr>
          <w:p w14:paraId="4718100E" w14:textId="734C15B7" w:rsidR="07714248" w:rsidRDefault="07714248" w:rsidP="0028011A">
            <w:r w:rsidRPr="02E751FF">
              <w:t>Guided</w:t>
            </w:r>
          </w:p>
        </w:tc>
        <w:tc>
          <w:tcPr>
            <w:tcW w:w="3705" w:type="dxa"/>
          </w:tcPr>
          <w:p w14:paraId="0D6923BB" w14:textId="6827E9DF" w:rsidR="07714248" w:rsidRDefault="07714248" w:rsidP="0028011A">
            <w:r w:rsidRPr="02E751FF">
              <w:t>0</w:t>
            </w:r>
          </w:p>
        </w:tc>
        <w:tc>
          <w:tcPr>
            <w:tcW w:w="2115" w:type="dxa"/>
          </w:tcPr>
          <w:p w14:paraId="737C5383" w14:textId="3110E422" w:rsidR="07714248" w:rsidRDefault="07714248" w:rsidP="0028011A">
            <w:r w:rsidRPr="02E751FF">
              <w:t>± 1,625 lbf</w:t>
            </w:r>
          </w:p>
          <w:p w14:paraId="0D4F458F" w14:textId="46C72935" w:rsidR="1F1FD250" w:rsidRDefault="1F1FD250" w:rsidP="0028011A">
            <w:r w:rsidRPr="02E751FF">
              <w:t>at the BT centerline</w:t>
            </w:r>
          </w:p>
        </w:tc>
        <w:tc>
          <w:tcPr>
            <w:tcW w:w="2855" w:type="dxa"/>
          </w:tcPr>
          <w:p w14:paraId="389BDDEA" w14:textId="225AFB26" w:rsidR="07714248" w:rsidRDefault="07714248" w:rsidP="0028011A">
            <w:r w:rsidRPr="02E751FF">
              <w:t>7,824 lbf (downward only)</w:t>
            </w:r>
          </w:p>
          <w:p w14:paraId="120FEC25" w14:textId="5C07AA99" w:rsidR="0E7FCB19" w:rsidRDefault="0E7FCB19" w:rsidP="0028011A">
            <w:r w:rsidRPr="02E751FF">
              <w:t>at the BT centerline</w:t>
            </w:r>
          </w:p>
        </w:tc>
      </w:tr>
    </w:tbl>
    <w:p w14:paraId="41F74887" w14:textId="1BBE67EF" w:rsidR="4792371E" w:rsidRDefault="4792371E" w:rsidP="0028011A">
      <w:r>
        <w:t xml:space="preserve">The most notable difference between the BT and the FCT is that the vertical forces </w:t>
      </w:r>
      <w:r w:rsidR="760FBD30">
        <w:t>are always downward for the BT fixed and guided supports, whereas for the FCT the vertical force can be upward</w:t>
      </w:r>
    </w:p>
    <w:p w14:paraId="0856966F" w14:textId="47817B21" w:rsidR="34366004" w:rsidRDefault="34366004" w:rsidP="0028011A">
      <w:r>
        <w:rPr>
          <w:noProof/>
        </w:rPr>
        <w:drawing>
          <wp:inline distT="0" distB="0" distL="0" distR="0" wp14:anchorId="4F3EE814" wp14:editId="6BA91A28">
            <wp:extent cx="6086475" cy="2838450"/>
            <wp:effectExtent l="0" t="0" r="0" b="0"/>
            <wp:docPr id="1617334898" name="Picture 202188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887771"/>
                    <pic:cNvPicPr/>
                  </pic:nvPicPr>
                  <pic:blipFill>
                    <a:blip r:embed="rId57">
                      <a:extLst>
                        <a:ext uri="{28A0092B-C50C-407E-A947-70E740481C1C}">
                          <a14:useLocalDpi xmlns:a14="http://schemas.microsoft.com/office/drawing/2010/main" val="0"/>
                        </a:ext>
                      </a:extLst>
                    </a:blip>
                    <a:stretch>
                      <a:fillRect/>
                    </a:stretch>
                  </pic:blipFill>
                  <pic:spPr>
                    <a:xfrm>
                      <a:off x="0" y="0"/>
                      <a:ext cx="6086475" cy="2838450"/>
                    </a:xfrm>
                    <a:prstGeom prst="rect">
                      <a:avLst/>
                    </a:prstGeom>
                  </pic:spPr>
                </pic:pic>
              </a:graphicData>
            </a:graphic>
          </wp:inline>
        </w:drawing>
      </w:r>
    </w:p>
    <w:p w14:paraId="031121E6" w14:textId="7B945D84" w:rsidR="34366004" w:rsidRDefault="001B5061" w:rsidP="001B5061">
      <w:pPr>
        <w:pStyle w:val="Caption"/>
      </w:pPr>
      <w:bookmarkStart w:id="69" w:name="_Toc50585553"/>
      <w:r>
        <w:t xml:space="preserve">Figure </w:t>
      </w:r>
      <w:r>
        <w:fldChar w:fldCharType="begin"/>
      </w:r>
      <w:r>
        <w:instrText>SEQ Figure \* ARABIC</w:instrText>
      </w:r>
      <w:r>
        <w:fldChar w:fldCharType="separate"/>
      </w:r>
      <w:r w:rsidR="00102C1B">
        <w:rPr>
          <w:noProof/>
        </w:rPr>
        <w:t>12</w:t>
      </w:r>
      <w:r>
        <w:fldChar w:fldCharType="end"/>
      </w:r>
      <w:r w:rsidR="34366004">
        <w:t xml:space="preserve">  Typical BT enclosure slip form slab</w:t>
      </w:r>
      <w:bookmarkEnd w:id="69"/>
    </w:p>
    <w:p w14:paraId="2707E5D3" w14:textId="530EDD2A" w:rsidR="34366004" w:rsidRPr="001B5061" w:rsidRDefault="001B5061" w:rsidP="0028011A">
      <w:pPr>
        <w:rPr>
          <w:i/>
          <w:sz w:val="22"/>
        </w:rPr>
      </w:pPr>
      <w:r w:rsidRPr="001B5061">
        <w:rPr>
          <w:i/>
          <w:sz w:val="22"/>
        </w:rPr>
        <w:t>Excerpt f</w:t>
      </w:r>
      <w:r w:rsidR="34366004" w:rsidRPr="001B5061">
        <w:rPr>
          <w:i/>
          <w:sz w:val="22"/>
        </w:rPr>
        <w:t xml:space="preserve">rom </w:t>
      </w:r>
      <w:hyperlink r:id="rId58">
        <w:r w:rsidR="34366004" w:rsidRPr="001B5061">
          <w:rPr>
            <w:rStyle w:val="Hyperlink"/>
            <w:i/>
            <w:sz w:val="22"/>
          </w:rPr>
          <w:t>LIGO-D961582-A</w:t>
        </w:r>
      </w:hyperlink>
    </w:p>
    <w:p w14:paraId="15B4BC4A" w14:textId="7C47888B" w:rsidR="5A319D34" w:rsidRDefault="5A319D34" w:rsidP="001B5061">
      <w:pPr>
        <w:rPr>
          <w:rFonts w:eastAsia="Arial"/>
        </w:rPr>
      </w:pPr>
      <w:r w:rsidRPr="02E751FF">
        <w:rPr>
          <w:rFonts w:eastAsia="Arial"/>
        </w:rPr>
        <w:t xml:space="preserve">Paragraph 2.6.A, “concrete-mix design”, in Section 02520, “Portland Cement Concrete Paving” of </w:t>
      </w:r>
      <w:hyperlink r:id="rId59">
        <w:r w:rsidRPr="02E751FF">
          <w:rPr>
            <w:rStyle w:val="Hyperlink"/>
            <w:rFonts w:ascii="Arial" w:eastAsia="Arial" w:hAnsi="Arial" w:cs="Arial"/>
            <w:szCs w:val="24"/>
          </w:rPr>
          <w:t>C962994</w:t>
        </w:r>
      </w:hyperlink>
      <w:r w:rsidRPr="02E751FF">
        <w:rPr>
          <w:rFonts w:eastAsia="Arial"/>
        </w:rPr>
        <w:t>, “Final Design Report, Beam Tube Enclosure Sitework and Fabrication, Vol. 1, Specifications”, calls for a minimum compressive strength of 3,000 psi at 28 days.</w:t>
      </w:r>
    </w:p>
    <w:p w14:paraId="0A2AD5F1" w14:textId="5F4E391A" w:rsidR="34366004" w:rsidRDefault="34366004" w:rsidP="0028011A">
      <w:pPr>
        <w:rPr>
          <w:szCs w:val="24"/>
        </w:rPr>
      </w:pPr>
      <w:r>
        <w:t xml:space="preserve">Although I did not find a procedure for CBI’s installation of anchors for the BT supports, I did find this PSI procedure for installation of adhesive anchors for the vacuum equipment:  </w:t>
      </w:r>
      <w:hyperlink r:id="rId60">
        <w:r w:rsidRPr="02E751FF">
          <w:rPr>
            <w:rStyle w:val="Hyperlink"/>
            <w:szCs w:val="24"/>
          </w:rPr>
          <w:t>LIGO-E1000712</w:t>
        </w:r>
      </w:hyperlink>
      <w:r w:rsidR="39433691" w:rsidRPr="02E751FF">
        <w:rPr>
          <w:szCs w:val="24"/>
        </w:rPr>
        <w:t>.</w:t>
      </w:r>
    </w:p>
    <w:p w14:paraId="5EB8CDD1" w14:textId="56F176FB" w:rsidR="02E751FF" w:rsidRDefault="003D0E4E" w:rsidP="0028011A">
      <w:r>
        <w:lastRenderedPageBreak/>
        <w:t xml:space="preserve">For a synopsis of the BT support load calculations see </w:t>
      </w:r>
      <w:hyperlink r:id="rId61" w:history="1">
        <w:r w:rsidRPr="00653533">
          <w:rPr>
            <w:rStyle w:val="Hyperlink"/>
          </w:rPr>
          <w:t>T1900628</w:t>
        </w:r>
      </w:hyperlink>
      <w:r>
        <w:t xml:space="preserve"> and the references therein. </w:t>
      </w:r>
    </w:p>
    <w:p w14:paraId="2FCF2ED4" w14:textId="77777777" w:rsidR="001B5061" w:rsidRDefault="001B5061" w:rsidP="0028011A"/>
    <w:sectPr w:rsidR="001B5061" w:rsidSect="001B5061">
      <w:headerReference w:type="default" r:id="rId62"/>
      <w:footerReference w:type="even" r:id="rId63"/>
      <w:footerReference w:type="default" r:id="rId64"/>
      <w:headerReference w:type="first" r:id="rId65"/>
      <w:pgSz w:w="12240" w:h="15840" w:code="1"/>
      <w:pgMar w:top="1440" w:right="1325" w:bottom="1440" w:left="1325"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3F9488" w16cex:dateUtc="2020-07-06T20:25:22Z"/>
  <w16cex:commentExtensible w16cex:durableId="109009CB" w16cex:intelligentPlaceholder="1" w16cex:dateUtc="2020-07-06T20:50:58Z"/>
  <w16cex:commentExtensible w16cex:durableId="4172B92B" w16cex:dateUtc="2020-07-06T20:51:21Z"/>
  <w16cex:commentExtensible w16cex:durableId="5C445186" w16cex:dateUtc="2020-07-06T21:13:15Z"/>
</w16cex:commentsExtensible>
</file>

<file path=word/commentsIds.xml><?xml version="1.0" encoding="utf-8"?>
<w16cid:commentsIds xmlns:mc="http://schemas.openxmlformats.org/markup-compatibility/2006" xmlns:w16cid="http://schemas.microsoft.com/office/word/2016/wordml/cid" mc:Ignorable="w16cid">
  <w16cid:commentId w16cid:paraId="1EDB8E11" w16cid:durableId="123F9488"/>
  <w16cid:commentId w16cid:paraId="37C564E4" w16cid:durableId="109009CB"/>
  <w16cid:commentId w16cid:paraId="31090740" w16cid:durableId="4172B92B"/>
  <w16cid:commentId w16cid:paraId="5D13BDC6" w16cid:durableId="5C4451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B9E20" w14:textId="77777777" w:rsidR="00BE0FCD" w:rsidRDefault="00BE0FCD">
      <w:r>
        <w:separator/>
      </w:r>
    </w:p>
  </w:endnote>
  <w:endnote w:type="continuationSeparator" w:id="0">
    <w:p w14:paraId="70DF9E56" w14:textId="77777777" w:rsidR="00BE0FCD" w:rsidRDefault="00BE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D5D3" w14:textId="77777777" w:rsidR="00BE0FCD" w:rsidRDefault="00BE0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7805D2" w14:textId="77777777" w:rsidR="00BE0FCD" w:rsidRDefault="00BE0F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C7B5B" w14:textId="70368AA3" w:rsidR="00BE0FCD" w:rsidRDefault="00BE0FC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02C1B">
      <w:rPr>
        <w:rStyle w:val="PageNumber"/>
        <w:noProof/>
      </w:rPr>
      <w:t>30</w:t>
    </w:r>
    <w:r>
      <w:rPr>
        <w:rStyle w:val="PageNumber"/>
      </w:rPr>
      <w:fldChar w:fldCharType="end"/>
    </w:r>
  </w:p>
  <w:p w14:paraId="738610EB" w14:textId="77777777" w:rsidR="00BE0FCD" w:rsidRDefault="00BE0F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B5B3" w14:textId="77777777" w:rsidR="00BE0FCD" w:rsidRDefault="00BE0F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806D44" w14:textId="77777777" w:rsidR="00BE0FCD" w:rsidRDefault="00BE0FC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6670D" w14:textId="5680C341" w:rsidR="00BE0FCD" w:rsidRDefault="00BE0FC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02C1B">
      <w:rPr>
        <w:rStyle w:val="PageNumber"/>
        <w:noProof/>
      </w:rPr>
      <w:t>31</w:t>
    </w:r>
    <w:r>
      <w:rPr>
        <w:rStyle w:val="PageNumber"/>
      </w:rPr>
      <w:fldChar w:fldCharType="end"/>
    </w:r>
  </w:p>
  <w:p w14:paraId="511C4F50" w14:textId="77777777" w:rsidR="00BE0FCD" w:rsidRDefault="00BE0F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871BC" w14:textId="77777777" w:rsidR="00BE0FCD" w:rsidRDefault="00BE0FCD">
      <w:r>
        <w:separator/>
      </w:r>
    </w:p>
  </w:footnote>
  <w:footnote w:type="continuationSeparator" w:id="0">
    <w:p w14:paraId="144A5D23" w14:textId="77777777" w:rsidR="00BE0FCD" w:rsidRDefault="00BE0FCD">
      <w:r>
        <w:continuationSeparator/>
      </w:r>
    </w:p>
  </w:footnote>
  <w:footnote w:id="1">
    <w:p w14:paraId="327398FE" w14:textId="050ED523" w:rsidR="00BE0FCD" w:rsidRDefault="00BE0FCD">
      <w:pPr>
        <w:pStyle w:val="FootnoteText"/>
      </w:pPr>
      <w:r>
        <w:rPr>
          <w:rStyle w:val="FootnoteReference"/>
        </w:rPr>
        <w:footnoteRef/>
      </w:r>
      <w:hyperlink r:id="rId1" w:history="1">
        <w:r w:rsidRPr="006731EF">
          <w:rPr>
            <w:rStyle w:val="Hyperlink"/>
          </w:rPr>
          <w:t>LIGO-T2000475</w:t>
        </w:r>
      </w:hyperlink>
      <w:r>
        <w:t xml:space="preserve"> is the final design document. (</w:t>
      </w:r>
      <w:hyperlink r:id="rId2" w:history="1">
        <w:r w:rsidRPr="006731EF">
          <w:rPr>
            <w:rStyle w:val="Hyperlink"/>
          </w:rPr>
          <w:t>LIGO-T2000002</w:t>
        </w:r>
      </w:hyperlink>
      <w:r>
        <w:t xml:space="preserve"> is the  conceptual design document.)</w:t>
      </w:r>
    </w:p>
  </w:footnote>
  <w:footnote w:id="2">
    <w:p w14:paraId="7FCAB820" w14:textId="77777777" w:rsidR="00BE0FCD" w:rsidRDefault="00BE0FCD" w:rsidP="00A96A07">
      <w:pPr>
        <w:pStyle w:val="FootnoteText"/>
      </w:pPr>
      <w:r>
        <w:rPr>
          <w:rStyle w:val="FootnoteReference"/>
        </w:rPr>
        <w:footnoteRef/>
      </w:r>
      <w:r>
        <w:t xml:space="preserve"> A similar design concept is used in t</w:t>
      </w:r>
      <w:r w:rsidRPr="00BA4A55">
        <w:t>he analysis of ground vibration transmission to the FCT baffles (</w:t>
      </w:r>
      <w:hyperlink r:id="rId3" w:history="1">
        <w:r w:rsidRPr="00BA4A55">
          <w:rPr>
            <w:rStyle w:val="Hyperlink"/>
          </w:rPr>
          <w:t>LIGO-T2000280</w:t>
        </w:r>
      </w:hyperlink>
      <w:r w:rsidRPr="00BA4A55">
        <w:t>)</w:t>
      </w:r>
      <w:r>
        <w:t>.</w:t>
      </w:r>
    </w:p>
  </w:footnote>
  <w:footnote w:id="3">
    <w:p w14:paraId="6EA4BD75" w14:textId="14005734" w:rsidR="00BE0FCD" w:rsidRDefault="00BE0FCD" w:rsidP="00F71D33">
      <w:pPr>
        <w:pStyle w:val="FootnoteText"/>
      </w:pPr>
      <w:r>
        <w:rPr>
          <w:rStyle w:val="FootnoteReference"/>
        </w:rPr>
        <w:footnoteRef/>
      </w:r>
      <w:r>
        <w:t xml:space="preserve"> ASCE 7-16, section 3.1.1 defines dead load as consisting of the weight of all materials of construction incorporated into the structure.</w:t>
      </w:r>
    </w:p>
  </w:footnote>
  <w:footnote w:id="4">
    <w:p w14:paraId="653E8E8E" w14:textId="2E4AF290" w:rsidR="00BE0FCD" w:rsidRDefault="00BE0FCD" w:rsidP="00DD2BCA">
      <w:pPr>
        <w:pStyle w:val="FootnoteText"/>
      </w:pPr>
      <w:r>
        <w:rPr>
          <w:rStyle w:val="FootnoteReference"/>
        </w:rPr>
        <w:footnoteRef/>
      </w:r>
      <w:r>
        <w:t xml:space="preserve"> ASCE 7-16, section 4.1 defines Live Load as: “A load produced by the use and occupancy of the building or other structure that does not include construction or environmental loads, such as wind load, snow load, rain load, earthquake load, flood load, or dead load.” Since differential pressure (atmosphere/vacuum) loading is part of the construction/commissioning, or rarely leak hunting, of the FCT and not an often recurring load in operation/use it could be considered not a live load. Likewise bake-out is a construction, transient event as well. It is unclear how to account for these loads if not considered live loads, so we’ll (conservatively) consider them live loads in this analysis.</w:t>
      </w:r>
    </w:p>
  </w:footnote>
  <w:footnote w:id="5">
    <w:p w14:paraId="0DB3CF03" w14:textId="77777777" w:rsidR="00BE0FCD" w:rsidRDefault="00BE0FCD" w:rsidP="003A4278">
      <w:pPr>
        <w:pStyle w:val="FootnoteText"/>
      </w:pPr>
      <w:r>
        <w:rPr>
          <w:rStyle w:val="FootnoteReference"/>
        </w:rPr>
        <w:footnoteRef/>
      </w:r>
      <w:r>
        <w:t xml:space="preserve"> Section 3.1.6 of Hilti’s Anchor Fastening Technical Guide, Edition 19</w:t>
      </w:r>
    </w:p>
  </w:footnote>
  <w:footnote w:id="6">
    <w:p w14:paraId="46194CFA" w14:textId="77777777" w:rsidR="00BE0FCD" w:rsidRDefault="00BE0FCD" w:rsidP="003A4278">
      <w:pPr>
        <w:pStyle w:val="FootnoteText"/>
      </w:pPr>
      <w:r>
        <w:rPr>
          <w:rStyle w:val="FootnoteReference"/>
        </w:rPr>
        <w:footnoteRef/>
      </w:r>
      <w:r>
        <w:t xml:space="preserve"> Section 3.1.8 of Hilti’s Anchor Fastening Technical Guide, Edition 19</w:t>
      </w:r>
    </w:p>
  </w:footnote>
  <w:footnote w:id="7">
    <w:p w14:paraId="06190F78" w14:textId="77777777" w:rsidR="00BE0FCD" w:rsidRDefault="00BE0FCD" w:rsidP="000849FC">
      <w:pPr>
        <w:pStyle w:val="FootnoteText"/>
      </w:pPr>
      <w:r>
        <w:rPr>
          <w:rStyle w:val="FootnoteReference"/>
        </w:rPr>
        <w:footnoteRef/>
      </w:r>
      <w:r>
        <w:t xml:space="preserve"> Uniform Building Code (UBC), Vol. 2, 1994. There have been a number of revisions to the UBC culminating in the 1997 version. The UBC is now superseded by the International Building Code (IBC). </w:t>
      </w:r>
    </w:p>
  </w:footnote>
  <w:footnote w:id="8">
    <w:p w14:paraId="0A731449" w14:textId="77777777" w:rsidR="00BE0FCD" w:rsidRDefault="00BE0FCD" w:rsidP="000849FC">
      <w:pPr>
        <w:pStyle w:val="FootnoteText"/>
      </w:pPr>
      <w:r>
        <w:rPr>
          <w:rStyle w:val="FootnoteReference"/>
        </w:rPr>
        <w:footnoteRef/>
      </w:r>
      <w:r>
        <w:t xml:space="preserve"> A. Chopra, Dynamics of Structures: Theory and Applications to Earthquake Engineering, Prentice Hall, 1995, pg. 220-224.</w:t>
      </w:r>
    </w:p>
  </w:footnote>
  <w:footnote w:id="9">
    <w:p w14:paraId="316CB8D8" w14:textId="2216F8BA" w:rsidR="00BE0FCD" w:rsidRDefault="00BE0FCD">
      <w:pPr>
        <w:pStyle w:val="FootnoteText"/>
      </w:pPr>
      <w:r>
        <w:rPr>
          <w:rStyle w:val="FootnoteReference"/>
        </w:rPr>
        <w:footnoteRef/>
      </w:r>
      <w:r>
        <w:t xml:space="preserve"> According to the </w:t>
      </w:r>
      <w:hyperlink r:id="rId4" w:anchor="t=FrictionFactor.htm" w:history="1">
        <w:r w:rsidRPr="00245B80">
          <w:rPr>
            <w:rStyle w:val="Hyperlink"/>
          </w:rPr>
          <w:t>START-PROF 4.84R3 User’s Guide</w:t>
        </w:r>
      </w:hyperlink>
      <w:r>
        <w:t xml:space="preserve"> normally 0.3 is assumed if otherwise not known or specified.</w:t>
      </w:r>
    </w:p>
  </w:footnote>
  <w:footnote w:id="10">
    <w:p w14:paraId="6A16BCC4" w14:textId="4E5CE450" w:rsidR="00BE0FCD" w:rsidRDefault="00BE0FCD" w:rsidP="00245B80">
      <w:pPr>
        <w:pStyle w:val="FootnoteText"/>
        <w:jc w:val="left"/>
      </w:pPr>
      <w:r>
        <w:rPr>
          <w:rStyle w:val="FootnoteReference"/>
        </w:rPr>
        <w:footnoteRef/>
      </w:r>
      <w:r>
        <w:t xml:space="preserve"> Coefficients of dry static friction for typical pipe support bearing surfaces are given in:</w:t>
      </w:r>
      <w:r>
        <w:br/>
        <w:t>B.S. Antaal, et. al., “Considerations of the Restraint Introduced by Piping Support Friction in a Comprehensive ASME B31.3 Analysis”, Proceedings of ASME 2012 Pressure Vessels &amp; Piping Division Confeence, PVP2012, July 15-19, 2012, Toronto, Ontario, Canada, PVP2012-78658.</w:t>
      </w:r>
    </w:p>
  </w:footnote>
  <w:footnote w:id="11">
    <w:p w14:paraId="3421A9DF" w14:textId="77777777" w:rsidR="00BE0FCD" w:rsidRDefault="00BE0FCD" w:rsidP="000849FC">
      <w:pPr>
        <w:pStyle w:val="FootnoteText"/>
      </w:pPr>
      <w:r>
        <w:rPr>
          <w:rStyle w:val="FootnoteReference"/>
        </w:rPr>
        <w:footnoteRef/>
      </w:r>
      <w:r>
        <w:t xml:space="preserve"> However in the analyses included here only the nominal design spring rates from LIGO-T2000002-v2 have been used.</w:t>
      </w:r>
    </w:p>
  </w:footnote>
  <w:footnote w:id="12">
    <w:p w14:paraId="17611CE0" w14:textId="302090D4" w:rsidR="00BE0FCD" w:rsidRDefault="00BE0FCD" w:rsidP="00C2595D">
      <w:pPr>
        <w:pStyle w:val="FootnoteText"/>
        <w:jc w:val="left"/>
      </w:pPr>
      <w:r>
        <w:rPr>
          <w:rStyle w:val="FootnoteReference"/>
        </w:rPr>
        <w:footnoteRef/>
      </w:r>
      <w:r>
        <w:t xml:space="preserve"> Excerpt from North American Product Technical Guide, Vol. 2: Anchor Fastening, Edition 16. </w:t>
      </w:r>
      <w:hyperlink r:id="rId5" w:history="1">
        <w:r w:rsidRPr="00665821">
          <w:rPr>
            <w:rStyle w:val="Hyperlink"/>
            <w:szCs w:val="24"/>
          </w:rPr>
          <w:t>https://www.hilti.com/medias/sys_master/documents/hbf/9175927062558/Product_Technical_Guide_Excerpt_for_ACI_318_Chapter_17_Strength_Design_-_SD_LRFD_Technical_information_ASSET_DOC_LOC_5941017.pdf</w:t>
        </w:r>
      </w:hyperlink>
    </w:p>
  </w:footnote>
  <w:footnote w:id="13">
    <w:p w14:paraId="5D2B639A" w14:textId="77777777" w:rsidR="00BE0FCD" w:rsidRDefault="00BE0FCD" w:rsidP="00C2595D">
      <w:pPr>
        <w:jc w:val="left"/>
      </w:pPr>
      <w:r>
        <w:rPr>
          <w:rStyle w:val="FootnoteReference"/>
        </w:rPr>
        <w:footnoteRef/>
      </w:r>
      <w:r>
        <w:t xml:space="preserve"> </w:t>
      </w:r>
      <w:hyperlink r:id="rId6">
        <w:r w:rsidRPr="75B1DA5D">
          <w:rPr>
            <w:rStyle w:val="Hyperlink"/>
            <w:szCs w:val="24"/>
          </w:rPr>
          <w:t>https://www.hilti.com/content/hilti/W1/US/en/engineering/software/hilti-software/structural-engineering/profis-engineering-suite.html</w:t>
        </w:r>
      </w:hyperlink>
    </w:p>
    <w:p w14:paraId="50DC2F0E" w14:textId="478ADF53" w:rsidR="00BE0FCD" w:rsidRDefault="00BE0F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AD21E" w14:textId="56E6EFC4" w:rsidR="00BE0FCD" w:rsidRDefault="00BE0FCD">
    <w:pPr>
      <w:pStyle w:val="Header"/>
      <w:tabs>
        <w:tab w:val="clear" w:pos="4320"/>
        <w:tab w:val="center" w:pos="4680"/>
      </w:tabs>
      <w:jc w:val="left"/>
      <w:rPr>
        <w:sz w:val="20"/>
      </w:rPr>
    </w:pPr>
    <w:r>
      <w:rPr>
        <w:b/>
        <w:bCs/>
        <w:i/>
        <w:iCs/>
        <w:color w:val="0000FF"/>
        <w:sz w:val="20"/>
      </w:rPr>
      <w:t>LIGO</w:t>
    </w:r>
    <w:r>
      <w:rPr>
        <w:sz w:val="20"/>
      </w:rPr>
      <w:tab/>
      <w:t>LIGO-</w:t>
    </w:r>
    <w:r w:rsidRPr="00A36B86">
      <w:t xml:space="preserve"> </w:t>
    </w:r>
    <w:r w:rsidRPr="00912440">
      <w:rPr>
        <w:sz w:val="20"/>
      </w:rPr>
      <w:t>T2000431</w:t>
    </w:r>
    <w:r>
      <w:rPr>
        <w:sz w:val="20"/>
      </w:rPr>
      <w:t>-v4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295F0" w14:textId="77777777" w:rsidR="00BE0FCD" w:rsidRDefault="00BE0FCD">
    <w:pPr>
      <w:pStyle w:val="Header"/>
      <w:jc w:val="right"/>
    </w:pPr>
    <w:r>
      <w:rPr>
        <w:b/>
        <w:caps/>
      </w:rPr>
      <w:t>Laser Interferometer Gravitational Wave Observatory</w:t>
    </w:r>
    <w:r>
      <w:rPr>
        <w:noProof/>
        <w:sz w:val="20"/>
      </w:rPr>
      <w:t xml:space="preserve"> </w:t>
    </w:r>
    <w:r>
      <w:rPr>
        <w:noProof/>
        <w:color w:val="2B579A"/>
        <w:sz w:val="20"/>
        <w:shd w:val="clear" w:color="auto" w:fill="E6E6E6"/>
      </w:rPr>
      <w:object w:dxaOrig="4320" w:dyaOrig="4320" w14:anchorId="0FFA9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61198418" r:id="rId2"/>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F0AA0" w14:textId="4A9BBA92" w:rsidR="00BE0FCD" w:rsidRDefault="00BE0FCD">
    <w:pPr>
      <w:pStyle w:val="Header"/>
      <w:tabs>
        <w:tab w:val="clear" w:pos="4320"/>
        <w:tab w:val="center" w:pos="4680"/>
      </w:tabs>
      <w:jc w:val="left"/>
      <w:rPr>
        <w:sz w:val="20"/>
      </w:rPr>
    </w:pPr>
    <w:r>
      <w:rPr>
        <w:b/>
        <w:bCs/>
        <w:i/>
        <w:iCs/>
        <w:color w:val="0000FF"/>
        <w:sz w:val="20"/>
      </w:rPr>
      <w:t>LIGO</w:t>
    </w:r>
    <w:r>
      <w:rPr>
        <w:sz w:val="20"/>
      </w:rPr>
      <w:tab/>
      <w:t>LIGO-</w:t>
    </w:r>
    <w:r w:rsidRPr="00A36B86">
      <w:t xml:space="preserve"> </w:t>
    </w:r>
    <w:r w:rsidRPr="00912440">
      <w:rPr>
        <w:sz w:val="20"/>
      </w:rPr>
      <w:t>T2000431</w:t>
    </w:r>
    <w:r>
      <w:rPr>
        <w:sz w:val="20"/>
      </w:rPr>
      <w:t>-v4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9C47" w14:textId="77777777" w:rsidR="00BE0FCD" w:rsidRDefault="00BE0FCD">
    <w:pPr>
      <w:pStyle w:val="Header"/>
      <w:jc w:val="right"/>
    </w:pPr>
    <w:r>
      <w:rPr>
        <w:b/>
        <w:caps/>
      </w:rPr>
      <w:t>Laser Interferometer Gravitational Wave Observatory</w:t>
    </w:r>
    <w:r>
      <w:rPr>
        <w:noProof/>
        <w:sz w:val="20"/>
      </w:rPr>
      <w:t xml:space="preserve"> </w:t>
    </w:r>
    <w:r>
      <w:rPr>
        <w:noProof/>
        <w:color w:val="2B579A"/>
        <w:sz w:val="20"/>
        <w:shd w:val="clear" w:color="auto" w:fill="E6E6E6"/>
      </w:rPr>
      <w:object w:dxaOrig="4320" w:dyaOrig="4320" w14:anchorId="2346F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pt;margin-top:-.75pt;width:78.05pt;height:57pt;z-index:251659776;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50" DrawAspect="Content" ObjectID="_166119841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8C4238"/>
    <w:multiLevelType w:val="hybridMultilevel"/>
    <w:tmpl w:val="5124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35F03"/>
    <w:multiLevelType w:val="hybridMultilevel"/>
    <w:tmpl w:val="128257E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52743"/>
    <w:multiLevelType w:val="hybridMultilevel"/>
    <w:tmpl w:val="FA9CE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A75D8F"/>
    <w:multiLevelType w:val="hybridMultilevel"/>
    <w:tmpl w:val="26F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A05F4"/>
    <w:multiLevelType w:val="hybridMultilevel"/>
    <w:tmpl w:val="1DCE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9120A2"/>
    <w:multiLevelType w:val="hybridMultilevel"/>
    <w:tmpl w:val="128257E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D454A3"/>
    <w:multiLevelType w:val="hybridMultilevel"/>
    <w:tmpl w:val="7BA0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F5B2F"/>
    <w:multiLevelType w:val="hybridMultilevel"/>
    <w:tmpl w:val="DC5A0C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20E7C"/>
    <w:multiLevelType w:val="hybridMultilevel"/>
    <w:tmpl w:val="AFCE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9364D"/>
    <w:multiLevelType w:val="hybridMultilevel"/>
    <w:tmpl w:val="BA946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9035E2"/>
    <w:multiLevelType w:val="hybridMultilevel"/>
    <w:tmpl w:val="C1BA8B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13A37"/>
    <w:multiLevelType w:val="hybridMultilevel"/>
    <w:tmpl w:val="5D54E4C6"/>
    <w:lvl w:ilvl="0" w:tplc="1D361C2E">
      <w:start w:val="1"/>
      <w:numFmt w:val="lowerLetter"/>
      <w:lvlText w:val="%1)"/>
      <w:lvlJc w:val="left"/>
      <w:pPr>
        <w:ind w:left="360" w:hanging="360"/>
      </w:pPr>
      <w:rPr>
        <w:rFonts w:hint="default"/>
        <w:i/>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C20CEC"/>
    <w:multiLevelType w:val="hybridMultilevel"/>
    <w:tmpl w:val="E16C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E0F70"/>
    <w:multiLevelType w:val="hybridMultilevel"/>
    <w:tmpl w:val="DC486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BA3D0C"/>
    <w:multiLevelType w:val="hybridMultilevel"/>
    <w:tmpl w:val="7630A1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65A51"/>
    <w:multiLevelType w:val="hybridMultilevel"/>
    <w:tmpl w:val="1E94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C0C50"/>
    <w:multiLevelType w:val="hybridMultilevel"/>
    <w:tmpl w:val="282431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E3024"/>
    <w:multiLevelType w:val="hybridMultilevel"/>
    <w:tmpl w:val="2FC0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A007B1"/>
    <w:multiLevelType w:val="hybridMultilevel"/>
    <w:tmpl w:val="61B844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DB0D3B"/>
    <w:multiLevelType w:val="hybridMultilevel"/>
    <w:tmpl w:val="983A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F77B0"/>
    <w:multiLevelType w:val="hybridMultilevel"/>
    <w:tmpl w:val="C1BA8B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7BB80A6E"/>
    <w:multiLevelType w:val="hybridMultilevel"/>
    <w:tmpl w:val="7DBC17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A37EA5"/>
    <w:multiLevelType w:val="hybridMultilevel"/>
    <w:tmpl w:val="DC5A0C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4"/>
  </w:num>
  <w:num w:numId="5">
    <w:abstractNumId w:val="7"/>
  </w:num>
  <w:num w:numId="6">
    <w:abstractNumId w:val="19"/>
  </w:num>
  <w:num w:numId="7">
    <w:abstractNumId w:val="11"/>
  </w:num>
  <w:num w:numId="8">
    <w:abstractNumId w:val="22"/>
  </w:num>
  <w:num w:numId="9">
    <w:abstractNumId w:val="9"/>
  </w:num>
  <w:num w:numId="10">
    <w:abstractNumId w:val="16"/>
  </w:num>
  <w:num w:numId="11">
    <w:abstractNumId w:val="4"/>
  </w:num>
  <w:num w:numId="12">
    <w:abstractNumId w:val="6"/>
  </w:num>
  <w:num w:numId="13">
    <w:abstractNumId w:val="25"/>
  </w:num>
  <w:num w:numId="14">
    <w:abstractNumId w:val="18"/>
  </w:num>
  <w:num w:numId="15">
    <w:abstractNumId w:val="3"/>
  </w:num>
  <w:num w:numId="16">
    <w:abstractNumId w:val="21"/>
  </w:num>
  <w:num w:numId="17">
    <w:abstractNumId w:val="13"/>
  </w:num>
  <w:num w:numId="18">
    <w:abstractNumId w:val="17"/>
  </w:num>
  <w:num w:numId="19">
    <w:abstractNumId w:val="23"/>
  </w:num>
  <w:num w:numId="20">
    <w:abstractNumId w:val="8"/>
  </w:num>
  <w:num w:numId="21">
    <w:abstractNumId w:val="15"/>
  </w:num>
  <w:num w:numId="22">
    <w:abstractNumId w:val="20"/>
  </w:num>
  <w:num w:numId="23">
    <w:abstractNumId w:val="10"/>
  </w:num>
  <w:num w:numId="24">
    <w:abstractNumId w:val="26"/>
  </w:num>
  <w:num w:numId="25">
    <w:abstractNumId w:val="12"/>
  </w:num>
  <w:num w:numId="26">
    <w:abstractNumId w:val="5"/>
  </w:num>
  <w:num w:numId="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1496"/>
    <w:rsid w:val="000016B8"/>
    <w:rsid w:val="0000260D"/>
    <w:rsid w:val="00003008"/>
    <w:rsid w:val="0000381E"/>
    <w:rsid w:val="0001031F"/>
    <w:rsid w:val="0001715C"/>
    <w:rsid w:val="00021376"/>
    <w:rsid w:val="000610AC"/>
    <w:rsid w:val="00064E8E"/>
    <w:rsid w:val="00065296"/>
    <w:rsid w:val="000718F9"/>
    <w:rsid w:val="000849FC"/>
    <w:rsid w:val="000A34BC"/>
    <w:rsid w:val="000A4D4C"/>
    <w:rsid w:val="000A56A3"/>
    <w:rsid w:val="000C445A"/>
    <w:rsid w:val="000E4081"/>
    <w:rsid w:val="000F210E"/>
    <w:rsid w:val="000F23D3"/>
    <w:rsid w:val="000F60AA"/>
    <w:rsid w:val="000F63B5"/>
    <w:rsid w:val="00102C1B"/>
    <w:rsid w:val="0011663F"/>
    <w:rsid w:val="00117C4D"/>
    <w:rsid w:val="00123958"/>
    <w:rsid w:val="0012496D"/>
    <w:rsid w:val="00136FDD"/>
    <w:rsid w:val="00141DD9"/>
    <w:rsid w:val="001478C8"/>
    <w:rsid w:val="00150BB6"/>
    <w:rsid w:val="00156811"/>
    <w:rsid w:val="001614AA"/>
    <w:rsid w:val="00161CA7"/>
    <w:rsid w:val="00162E5D"/>
    <w:rsid w:val="00172C05"/>
    <w:rsid w:val="001824C6"/>
    <w:rsid w:val="00183393"/>
    <w:rsid w:val="00190B45"/>
    <w:rsid w:val="001929A5"/>
    <w:rsid w:val="001A13A1"/>
    <w:rsid w:val="001A49E3"/>
    <w:rsid w:val="001A507B"/>
    <w:rsid w:val="001B34BD"/>
    <w:rsid w:val="001B5061"/>
    <w:rsid w:val="001B5910"/>
    <w:rsid w:val="001C23A0"/>
    <w:rsid w:val="001C43F0"/>
    <w:rsid w:val="001C621F"/>
    <w:rsid w:val="001D013D"/>
    <w:rsid w:val="001D16C3"/>
    <w:rsid w:val="001D7E78"/>
    <w:rsid w:val="001E4452"/>
    <w:rsid w:val="001E68BD"/>
    <w:rsid w:val="001F5F88"/>
    <w:rsid w:val="00202358"/>
    <w:rsid w:val="00204585"/>
    <w:rsid w:val="00210810"/>
    <w:rsid w:val="00215853"/>
    <w:rsid w:val="00216317"/>
    <w:rsid w:val="0023383F"/>
    <w:rsid w:val="00237CA4"/>
    <w:rsid w:val="00245B80"/>
    <w:rsid w:val="00260091"/>
    <w:rsid w:val="0027638C"/>
    <w:rsid w:val="0028011A"/>
    <w:rsid w:val="00283A15"/>
    <w:rsid w:val="002857C0"/>
    <w:rsid w:val="002D0BBA"/>
    <w:rsid w:val="002D3272"/>
    <w:rsid w:val="002E0E9E"/>
    <w:rsid w:val="002E7A8C"/>
    <w:rsid w:val="002F0450"/>
    <w:rsid w:val="002F2764"/>
    <w:rsid w:val="002F7824"/>
    <w:rsid w:val="00304367"/>
    <w:rsid w:val="0030562A"/>
    <w:rsid w:val="0030669B"/>
    <w:rsid w:val="00310869"/>
    <w:rsid w:val="00316840"/>
    <w:rsid w:val="00320369"/>
    <w:rsid w:val="00324826"/>
    <w:rsid w:val="00327AEB"/>
    <w:rsid w:val="003310E0"/>
    <w:rsid w:val="003448DF"/>
    <w:rsid w:val="00344CC5"/>
    <w:rsid w:val="003466F7"/>
    <w:rsid w:val="003516AD"/>
    <w:rsid w:val="0036226E"/>
    <w:rsid w:val="00371324"/>
    <w:rsid w:val="003724AA"/>
    <w:rsid w:val="00377930"/>
    <w:rsid w:val="003827B1"/>
    <w:rsid w:val="0038497C"/>
    <w:rsid w:val="00386ABB"/>
    <w:rsid w:val="003953E1"/>
    <w:rsid w:val="0039589C"/>
    <w:rsid w:val="003972CA"/>
    <w:rsid w:val="003A1949"/>
    <w:rsid w:val="003A4278"/>
    <w:rsid w:val="003A437F"/>
    <w:rsid w:val="003A43EE"/>
    <w:rsid w:val="003A7772"/>
    <w:rsid w:val="003C1EFA"/>
    <w:rsid w:val="003C31F4"/>
    <w:rsid w:val="003C796A"/>
    <w:rsid w:val="003D0E4E"/>
    <w:rsid w:val="003D725B"/>
    <w:rsid w:val="003D7EAC"/>
    <w:rsid w:val="003E76C2"/>
    <w:rsid w:val="003E7BB7"/>
    <w:rsid w:val="003F08ED"/>
    <w:rsid w:val="003F09BC"/>
    <w:rsid w:val="003F1854"/>
    <w:rsid w:val="003F42AA"/>
    <w:rsid w:val="003F5E1E"/>
    <w:rsid w:val="003F75FE"/>
    <w:rsid w:val="00403342"/>
    <w:rsid w:val="00405A56"/>
    <w:rsid w:val="00407ADC"/>
    <w:rsid w:val="00411C14"/>
    <w:rsid w:val="004150F2"/>
    <w:rsid w:val="00415C7E"/>
    <w:rsid w:val="00417066"/>
    <w:rsid w:val="00423834"/>
    <w:rsid w:val="00427B7A"/>
    <w:rsid w:val="0043104E"/>
    <w:rsid w:val="00446839"/>
    <w:rsid w:val="00463E25"/>
    <w:rsid w:val="00473D4F"/>
    <w:rsid w:val="0048122A"/>
    <w:rsid w:val="004824D0"/>
    <w:rsid w:val="00486537"/>
    <w:rsid w:val="004960B1"/>
    <w:rsid w:val="00497719"/>
    <w:rsid w:val="004B52E1"/>
    <w:rsid w:val="004D1008"/>
    <w:rsid w:val="004D5BA5"/>
    <w:rsid w:val="004E22C8"/>
    <w:rsid w:val="004E5B34"/>
    <w:rsid w:val="004F0F09"/>
    <w:rsid w:val="004F2A26"/>
    <w:rsid w:val="00505B47"/>
    <w:rsid w:val="00512145"/>
    <w:rsid w:val="00517777"/>
    <w:rsid w:val="005207F9"/>
    <w:rsid w:val="00523FAD"/>
    <w:rsid w:val="00527005"/>
    <w:rsid w:val="005325C6"/>
    <w:rsid w:val="005330EC"/>
    <w:rsid w:val="005405EC"/>
    <w:rsid w:val="0054334E"/>
    <w:rsid w:val="00544708"/>
    <w:rsid w:val="00546A51"/>
    <w:rsid w:val="00547C2B"/>
    <w:rsid w:val="00556EA2"/>
    <w:rsid w:val="00562F03"/>
    <w:rsid w:val="00563A05"/>
    <w:rsid w:val="00565582"/>
    <w:rsid w:val="00572A39"/>
    <w:rsid w:val="00572AD5"/>
    <w:rsid w:val="00576C56"/>
    <w:rsid w:val="00582111"/>
    <w:rsid w:val="00584788"/>
    <w:rsid w:val="005A079F"/>
    <w:rsid w:val="005A346F"/>
    <w:rsid w:val="005A6D2C"/>
    <w:rsid w:val="005A6FFD"/>
    <w:rsid w:val="005A79A2"/>
    <w:rsid w:val="005A7DF4"/>
    <w:rsid w:val="005B3990"/>
    <w:rsid w:val="005C2EA3"/>
    <w:rsid w:val="005C4800"/>
    <w:rsid w:val="005C49DB"/>
    <w:rsid w:val="005D4A67"/>
    <w:rsid w:val="005D6B08"/>
    <w:rsid w:val="005E0FAD"/>
    <w:rsid w:val="005E13FE"/>
    <w:rsid w:val="005E4BB6"/>
    <w:rsid w:val="005E6307"/>
    <w:rsid w:val="005F07DF"/>
    <w:rsid w:val="005F2BA0"/>
    <w:rsid w:val="005F320E"/>
    <w:rsid w:val="005F48B2"/>
    <w:rsid w:val="005F635B"/>
    <w:rsid w:val="00625623"/>
    <w:rsid w:val="00634E12"/>
    <w:rsid w:val="00635809"/>
    <w:rsid w:val="00636E83"/>
    <w:rsid w:val="0064073B"/>
    <w:rsid w:val="006428D4"/>
    <w:rsid w:val="006437E4"/>
    <w:rsid w:val="006533DA"/>
    <w:rsid w:val="00660165"/>
    <w:rsid w:val="00665C45"/>
    <w:rsid w:val="006731EF"/>
    <w:rsid w:val="0067654E"/>
    <w:rsid w:val="006813E8"/>
    <w:rsid w:val="0068203F"/>
    <w:rsid w:val="00686BC5"/>
    <w:rsid w:val="006A117F"/>
    <w:rsid w:val="006C055A"/>
    <w:rsid w:val="006C232A"/>
    <w:rsid w:val="006D0A60"/>
    <w:rsid w:val="006D5530"/>
    <w:rsid w:val="006D5FF0"/>
    <w:rsid w:val="006D7550"/>
    <w:rsid w:val="006E0BA5"/>
    <w:rsid w:val="006E31B9"/>
    <w:rsid w:val="006E5444"/>
    <w:rsid w:val="00700084"/>
    <w:rsid w:val="00704FFB"/>
    <w:rsid w:val="007217DA"/>
    <w:rsid w:val="00737ACE"/>
    <w:rsid w:val="00740B62"/>
    <w:rsid w:val="007450D9"/>
    <w:rsid w:val="00754BA1"/>
    <w:rsid w:val="00756179"/>
    <w:rsid w:val="0076411F"/>
    <w:rsid w:val="0077317B"/>
    <w:rsid w:val="00773529"/>
    <w:rsid w:val="00774FB9"/>
    <w:rsid w:val="00776291"/>
    <w:rsid w:val="0078145B"/>
    <w:rsid w:val="0078334B"/>
    <w:rsid w:val="00790AA4"/>
    <w:rsid w:val="007B4F0B"/>
    <w:rsid w:val="007B5809"/>
    <w:rsid w:val="007B66C2"/>
    <w:rsid w:val="007C370E"/>
    <w:rsid w:val="007C79AD"/>
    <w:rsid w:val="007D2CF5"/>
    <w:rsid w:val="007E092E"/>
    <w:rsid w:val="007E27E8"/>
    <w:rsid w:val="007E5E62"/>
    <w:rsid w:val="007F5750"/>
    <w:rsid w:val="007F66B8"/>
    <w:rsid w:val="00802321"/>
    <w:rsid w:val="00805C15"/>
    <w:rsid w:val="00806383"/>
    <w:rsid w:val="0081327A"/>
    <w:rsid w:val="008216DF"/>
    <w:rsid w:val="00832753"/>
    <w:rsid w:val="00843247"/>
    <w:rsid w:val="00847BA7"/>
    <w:rsid w:val="00847DB3"/>
    <w:rsid w:val="00856583"/>
    <w:rsid w:val="00857335"/>
    <w:rsid w:val="008604BB"/>
    <w:rsid w:val="00861E96"/>
    <w:rsid w:val="00863CE1"/>
    <w:rsid w:val="008670D8"/>
    <w:rsid w:val="008712CB"/>
    <w:rsid w:val="00874DDC"/>
    <w:rsid w:val="00876102"/>
    <w:rsid w:val="00896401"/>
    <w:rsid w:val="00896CD1"/>
    <w:rsid w:val="008972CF"/>
    <w:rsid w:val="008A1051"/>
    <w:rsid w:val="008A1D13"/>
    <w:rsid w:val="008A1D2F"/>
    <w:rsid w:val="008A268A"/>
    <w:rsid w:val="008A469B"/>
    <w:rsid w:val="008B27DE"/>
    <w:rsid w:val="008B2E0C"/>
    <w:rsid w:val="008B2F1A"/>
    <w:rsid w:val="008B3F18"/>
    <w:rsid w:val="008B60E7"/>
    <w:rsid w:val="008C13F2"/>
    <w:rsid w:val="008C39E5"/>
    <w:rsid w:val="008C4FAD"/>
    <w:rsid w:val="008E278E"/>
    <w:rsid w:val="008E38EF"/>
    <w:rsid w:val="008E3EC3"/>
    <w:rsid w:val="008E7496"/>
    <w:rsid w:val="00901F16"/>
    <w:rsid w:val="009022BF"/>
    <w:rsid w:val="00910ADA"/>
    <w:rsid w:val="00912440"/>
    <w:rsid w:val="00913F74"/>
    <w:rsid w:val="0091556B"/>
    <w:rsid w:val="00916F8A"/>
    <w:rsid w:val="00920618"/>
    <w:rsid w:val="009226E9"/>
    <w:rsid w:val="009258C3"/>
    <w:rsid w:val="009269BD"/>
    <w:rsid w:val="00926F8F"/>
    <w:rsid w:val="00927A10"/>
    <w:rsid w:val="00945DEC"/>
    <w:rsid w:val="0096133C"/>
    <w:rsid w:val="00965D77"/>
    <w:rsid w:val="0097049F"/>
    <w:rsid w:val="00970CFE"/>
    <w:rsid w:val="0097195F"/>
    <w:rsid w:val="00974E62"/>
    <w:rsid w:val="00977FAA"/>
    <w:rsid w:val="00986A2D"/>
    <w:rsid w:val="00986B72"/>
    <w:rsid w:val="009877A1"/>
    <w:rsid w:val="00990A07"/>
    <w:rsid w:val="009965D3"/>
    <w:rsid w:val="009A1DA5"/>
    <w:rsid w:val="009A3670"/>
    <w:rsid w:val="009A37D5"/>
    <w:rsid w:val="009A389D"/>
    <w:rsid w:val="009A71F5"/>
    <w:rsid w:val="009A7CBA"/>
    <w:rsid w:val="009B119B"/>
    <w:rsid w:val="009C3077"/>
    <w:rsid w:val="009C36B7"/>
    <w:rsid w:val="009C769F"/>
    <w:rsid w:val="009D566E"/>
    <w:rsid w:val="009D5D73"/>
    <w:rsid w:val="009D6A1C"/>
    <w:rsid w:val="009D77C4"/>
    <w:rsid w:val="009E0B77"/>
    <w:rsid w:val="009E3D93"/>
    <w:rsid w:val="009E6DA8"/>
    <w:rsid w:val="009E7F78"/>
    <w:rsid w:val="009F3B48"/>
    <w:rsid w:val="00A021CB"/>
    <w:rsid w:val="00A046FF"/>
    <w:rsid w:val="00A07887"/>
    <w:rsid w:val="00A140E0"/>
    <w:rsid w:val="00A1636A"/>
    <w:rsid w:val="00A16558"/>
    <w:rsid w:val="00A32324"/>
    <w:rsid w:val="00A33AC3"/>
    <w:rsid w:val="00A345B5"/>
    <w:rsid w:val="00A350CD"/>
    <w:rsid w:val="00A36B86"/>
    <w:rsid w:val="00A43E12"/>
    <w:rsid w:val="00A448B1"/>
    <w:rsid w:val="00A53C8E"/>
    <w:rsid w:val="00A55DFD"/>
    <w:rsid w:val="00A63A93"/>
    <w:rsid w:val="00A70234"/>
    <w:rsid w:val="00A70377"/>
    <w:rsid w:val="00A7323B"/>
    <w:rsid w:val="00A76E62"/>
    <w:rsid w:val="00A86E0C"/>
    <w:rsid w:val="00A90945"/>
    <w:rsid w:val="00A966F7"/>
    <w:rsid w:val="00A96A07"/>
    <w:rsid w:val="00AA03C8"/>
    <w:rsid w:val="00AA0CBA"/>
    <w:rsid w:val="00AA5B1C"/>
    <w:rsid w:val="00AB5E23"/>
    <w:rsid w:val="00AC76EE"/>
    <w:rsid w:val="00AC7DFF"/>
    <w:rsid w:val="00AD1816"/>
    <w:rsid w:val="00AE0863"/>
    <w:rsid w:val="00AE0E50"/>
    <w:rsid w:val="00AE46BF"/>
    <w:rsid w:val="00AF7E5E"/>
    <w:rsid w:val="00B0118A"/>
    <w:rsid w:val="00B04625"/>
    <w:rsid w:val="00B04682"/>
    <w:rsid w:val="00B122CE"/>
    <w:rsid w:val="00B269B3"/>
    <w:rsid w:val="00B27DE3"/>
    <w:rsid w:val="00B44B9E"/>
    <w:rsid w:val="00B44F49"/>
    <w:rsid w:val="00B72D48"/>
    <w:rsid w:val="00B8294F"/>
    <w:rsid w:val="00B85F43"/>
    <w:rsid w:val="00B911FC"/>
    <w:rsid w:val="00B91315"/>
    <w:rsid w:val="00BA4A55"/>
    <w:rsid w:val="00BA638F"/>
    <w:rsid w:val="00BB657C"/>
    <w:rsid w:val="00BC0506"/>
    <w:rsid w:val="00BC227E"/>
    <w:rsid w:val="00BC3153"/>
    <w:rsid w:val="00BC3D95"/>
    <w:rsid w:val="00BC5C31"/>
    <w:rsid w:val="00BC6E36"/>
    <w:rsid w:val="00BD7308"/>
    <w:rsid w:val="00BE026D"/>
    <w:rsid w:val="00BE0FCD"/>
    <w:rsid w:val="00BE2986"/>
    <w:rsid w:val="00BF1CD2"/>
    <w:rsid w:val="00C01E44"/>
    <w:rsid w:val="00C05A4E"/>
    <w:rsid w:val="00C068FE"/>
    <w:rsid w:val="00C211C2"/>
    <w:rsid w:val="00C2595D"/>
    <w:rsid w:val="00C26F5B"/>
    <w:rsid w:val="00C300C7"/>
    <w:rsid w:val="00C4281B"/>
    <w:rsid w:val="00C43D4C"/>
    <w:rsid w:val="00C46673"/>
    <w:rsid w:val="00C728E2"/>
    <w:rsid w:val="00C86456"/>
    <w:rsid w:val="00C87D2B"/>
    <w:rsid w:val="00C977BF"/>
    <w:rsid w:val="00CB5991"/>
    <w:rsid w:val="00CB6A2D"/>
    <w:rsid w:val="00CC1D96"/>
    <w:rsid w:val="00CC2C49"/>
    <w:rsid w:val="00CC3B9F"/>
    <w:rsid w:val="00CD0126"/>
    <w:rsid w:val="00CD307C"/>
    <w:rsid w:val="00CE2A9D"/>
    <w:rsid w:val="00CE4D2F"/>
    <w:rsid w:val="00CE5A00"/>
    <w:rsid w:val="00CE7088"/>
    <w:rsid w:val="00CE7886"/>
    <w:rsid w:val="00CE7A1C"/>
    <w:rsid w:val="00CF616A"/>
    <w:rsid w:val="00D0019D"/>
    <w:rsid w:val="00D10BF5"/>
    <w:rsid w:val="00D10F2A"/>
    <w:rsid w:val="00D11A56"/>
    <w:rsid w:val="00D12D3C"/>
    <w:rsid w:val="00D145F4"/>
    <w:rsid w:val="00D21B35"/>
    <w:rsid w:val="00D33C64"/>
    <w:rsid w:val="00D462BC"/>
    <w:rsid w:val="00D55397"/>
    <w:rsid w:val="00D75054"/>
    <w:rsid w:val="00D77873"/>
    <w:rsid w:val="00D7AA00"/>
    <w:rsid w:val="00D80804"/>
    <w:rsid w:val="00D8270F"/>
    <w:rsid w:val="00D92B2A"/>
    <w:rsid w:val="00D93934"/>
    <w:rsid w:val="00D94C8A"/>
    <w:rsid w:val="00D96404"/>
    <w:rsid w:val="00DA2283"/>
    <w:rsid w:val="00DA6089"/>
    <w:rsid w:val="00DA7DBA"/>
    <w:rsid w:val="00DB178E"/>
    <w:rsid w:val="00DC692E"/>
    <w:rsid w:val="00DC799B"/>
    <w:rsid w:val="00DD2BCA"/>
    <w:rsid w:val="00DD6615"/>
    <w:rsid w:val="00DE0684"/>
    <w:rsid w:val="00DF4FFB"/>
    <w:rsid w:val="00E05651"/>
    <w:rsid w:val="00E10198"/>
    <w:rsid w:val="00E20164"/>
    <w:rsid w:val="00E21772"/>
    <w:rsid w:val="00E221A1"/>
    <w:rsid w:val="00E271E7"/>
    <w:rsid w:val="00E363B2"/>
    <w:rsid w:val="00E3721E"/>
    <w:rsid w:val="00E40D3E"/>
    <w:rsid w:val="00E41653"/>
    <w:rsid w:val="00E41FB4"/>
    <w:rsid w:val="00E427B6"/>
    <w:rsid w:val="00E50CA5"/>
    <w:rsid w:val="00E539EA"/>
    <w:rsid w:val="00E605D1"/>
    <w:rsid w:val="00E66298"/>
    <w:rsid w:val="00E73F67"/>
    <w:rsid w:val="00E772C4"/>
    <w:rsid w:val="00E8112A"/>
    <w:rsid w:val="00E851D4"/>
    <w:rsid w:val="00E946F1"/>
    <w:rsid w:val="00E95EC8"/>
    <w:rsid w:val="00EA151A"/>
    <w:rsid w:val="00EB6A58"/>
    <w:rsid w:val="00EB7FF6"/>
    <w:rsid w:val="00EC0762"/>
    <w:rsid w:val="00EC22BD"/>
    <w:rsid w:val="00EC6E95"/>
    <w:rsid w:val="00EC6FC1"/>
    <w:rsid w:val="00ED1151"/>
    <w:rsid w:val="00EE65F7"/>
    <w:rsid w:val="00EF00DF"/>
    <w:rsid w:val="00EF53F2"/>
    <w:rsid w:val="00F02A0D"/>
    <w:rsid w:val="00F04E85"/>
    <w:rsid w:val="00F07A55"/>
    <w:rsid w:val="00F103CA"/>
    <w:rsid w:val="00F12F9F"/>
    <w:rsid w:val="00F21E50"/>
    <w:rsid w:val="00F23305"/>
    <w:rsid w:val="00F25F02"/>
    <w:rsid w:val="00F33D7B"/>
    <w:rsid w:val="00F378FB"/>
    <w:rsid w:val="00F45886"/>
    <w:rsid w:val="00F52786"/>
    <w:rsid w:val="00F5292B"/>
    <w:rsid w:val="00F53618"/>
    <w:rsid w:val="00F537A3"/>
    <w:rsid w:val="00F54455"/>
    <w:rsid w:val="00F549FB"/>
    <w:rsid w:val="00F60D6E"/>
    <w:rsid w:val="00F6250A"/>
    <w:rsid w:val="00F65452"/>
    <w:rsid w:val="00F6776B"/>
    <w:rsid w:val="00F71D33"/>
    <w:rsid w:val="00F7767A"/>
    <w:rsid w:val="00F9641A"/>
    <w:rsid w:val="00F96ED3"/>
    <w:rsid w:val="00FA006E"/>
    <w:rsid w:val="00FA1EF8"/>
    <w:rsid w:val="00FA42FE"/>
    <w:rsid w:val="00FA5EDB"/>
    <w:rsid w:val="00FA7E9A"/>
    <w:rsid w:val="00FB0E7F"/>
    <w:rsid w:val="00FB195F"/>
    <w:rsid w:val="00FB3668"/>
    <w:rsid w:val="00FB3DAE"/>
    <w:rsid w:val="00FB5C42"/>
    <w:rsid w:val="00FB7051"/>
    <w:rsid w:val="00FC5F5B"/>
    <w:rsid w:val="00FC69F5"/>
    <w:rsid w:val="00FF1392"/>
    <w:rsid w:val="0131E51B"/>
    <w:rsid w:val="01B1B337"/>
    <w:rsid w:val="01C6017B"/>
    <w:rsid w:val="02C7F18A"/>
    <w:rsid w:val="02E751FF"/>
    <w:rsid w:val="0519FF65"/>
    <w:rsid w:val="0574F427"/>
    <w:rsid w:val="05A9C652"/>
    <w:rsid w:val="05D014C0"/>
    <w:rsid w:val="06A58AEF"/>
    <w:rsid w:val="070C5189"/>
    <w:rsid w:val="07714248"/>
    <w:rsid w:val="07983547"/>
    <w:rsid w:val="0801A502"/>
    <w:rsid w:val="0862E0DF"/>
    <w:rsid w:val="096C7A0E"/>
    <w:rsid w:val="09953B04"/>
    <w:rsid w:val="0A47DE3D"/>
    <w:rsid w:val="0AC21CB5"/>
    <w:rsid w:val="0ACDC10C"/>
    <w:rsid w:val="0B2A92B6"/>
    <w:rsid w:val="0B2C6271"/>
    <w:rsid w:val="0B6711D9"/>
    <w:rsid w:val="0D9153A9"/>
    <w:rsid w:val="0D960E9E"/>
    <w:rsid w:val="0E14B011"/>
    <w:rsid w:val="0E172ECA"/>
    <w:rsid w:val="0E668E00"/>
    <w:rsid w:val="0E77CF96"/>
    <w:rsid w:val="0E7FCB19"/>
    <w:rsid w:val="0F6544DF"/>
    <w:rsid w:val="10365D16"/>
    <w:rsid w:val="10496E3B"/>
    <w:rsid w:val="118B5D70"/>
    <w:rsid w:val="1193FDBD"/>
    <w:rsid w:val="13899E11"/>
    <w:rsid w:val="14B0DCA5"/>
    <w:rsid w:val="158DBF5E"/>
    <w:rsid w:val="15B69353"/>
    <w:rsid w:val="15DCE4E7"/>
    <w:rsid w:val="15ED99B4"/>
    <w:rsid w:val="16294754"/>
    <w:rsid w:val="16522350"/>
    <w:rsid w:val="16FFFB6F"/>
    <w:rsid w:val="17579853"/>
    <w:rsid w:val="17D41736"/>
    <w:rsid w:val="182ABDAF"/>
    <w:rsid w:val="18B35ED2"/>
    <w:rsid w:val="18C5842B"/>
    <w:rsid w:val="18F3AD95"/>
    <w:rsid w:val="190BA8FF"/>
    <w:rsid w:val="19353253"/>
    <w:rsid w:val="193CE45C"/>
    <w:rsid w:val="197E3B07"/>
    <w:rsid w:val="1AA1FD01"/>
    <w:rsid w:val="1AD4055D"/>
    <w:rsid w:val="1AE120F9"/>
    <w:rsid w:val="1B66FC50"/>
    <w:rsid w:val="1C34DDCB"/>
    <w:rsid w:val="1CE0BD4E"/>
    <w:rsid w:val="1D511782"/>
    <w:rsid w:val="1D8069C8"/>
    <w:rsid w:val="1E2696CD"/>
    <w:rsid w:val="1E37D609"/>
    <w:rsid w:val="1E6B7782"/>
    <w:rsid w:val="1EAE925E"/>
    <w:rsid w:val="1EDD7FA8"/>
    <w:rsid w:val="1EE797C1"/>
    <w:rsid w:val="1EF5F5BC"/>
    <w:rsid w:val="1F1FD250"/>
    <w:rsid w:val="1F7FA1BA"/>
    <w:rsid w:val="1FB2AAA4"/>
    <w:rsid w:val="205BF108"/>
    <w:rsid w:val="21DCA0F3"/>
    <w:rsid w:val="21E3AF94"/>
    <w:rsid w:val="21E5C52E"/>
    <w:rsid w:val="23B359FD"/>
    <w:rsid w:val="249E2651"/>
    <w:rsid w:val="25019883"/>
    <w:rsid w:val="25211D22"/>
    <w:rsid w:val="253B7E41"/>
    <w:rsid w:val="25FE917C"/>
    <w:rsid w:val="26C4C69D"/>
    <w:rsid w:val="27B1E78A"/>
    <w:rsid w:val="27E64F54"/>
    <w:rsid w:val="27F34D04"/>
    <w:rsid w:val="282343A6"/>
    <w:rsid w:val="28B1E90F"/>
    <w:rsid w:val="2946EC91"/>
    <w:rsid w:val="29D98AED"/>
    <w:rsid w:val="2ABEACD3"/>
    <w:rsid w:val="2DB27663"/>
    <w:rsid w:val="2DE7C2B1"/>
    <w:rsid w:val="2DF73845"/>
    <w:rsid w:val="2E0DB57F"/>
    <w:rsid w:val="2E66977B"/>
    <w:rsid w:val="2E75AEDB"/>
    <w:rsid w:val="2EBA8EAD"/>
    <w:rsid w:val="2F093A98"/>
    <w:rsid w:val="2F09FE34"/>
    <w:rsid w:val="2F19952A"/>
    <w:rsid w:val="2F2FF61F"/>
    <w:rsid w:val="2F56B754"/>
    <w:rsid w:val="2FA05F15"/>
    <w:rsid w:val="2FA8E817"/>
    <w:rsid w:val="309FCFF3"/>
    <w:rsid w:val="30D769B0"/>
    <w:rsid w:val="31882F5A"/>
    <w:rsid w:val="32700A50"/>
    <w:rsid w:val="32A4B38F"/>
    <w:rsid w:val="32D60636"/>
    <w:rsid w:val="32E1F115"/>
    <w:rsid w:val="32F639C8"/>
    <w:rsid w:val="33578C42"/>
    <w:rsid w:val="33AEC654"/>
    <w:rsid w:val="33D3B31B"/>
    <w:rsid w:val="34366004"/>
    <w:rsid w:val="343D527B"/>
    <w:rsid w:val="34C68755"/>
    <w:rsid w:val="3501485F"/>
    <w:rsid w:val="35598DE0"/>
    <w:rsid w:val="36F62C08"/>
    <w:rsid w:val="3738C08D"/>
    <w:rsid w:val="37790C92"/>
    <w:rsid w:val="377DF754"/>
    <w:rsid w:val="378E84BA"/>
    <w:rsid w:val="37A9E02B"/>
    <w:rsid w:val="37AC9010"/>
    <w:rsid w:val="38F2DD5A"/>
    <w:rsid w:val="3930C159"/>
    <w:rsid w:val="39433691"/>
    <w:rsid w:val="3943CDF9"/>
    <w:rsid w:val="39C8278B"/>
    <w:rsid w:val="3A368CA4"/>
    <w:rsid w:val="3ACA9311"/>
    <w:rsid w:val="3ACD6A75"/>
    <w:rsid w:val="3CA04464"/>
    <w:rsid w:val="3CE4A18F"/>
    <w:rsid w:val="3D0E338E"/>
    <w:rsid w:val="3D554638"/>
    <w:rsid w:val="3D877E7D"/>
    <w:rsid w:val="3EDB96E9"/>
    <w:rsid w:val="3F801B66"/>
    <w:rsid w:val="408B047C"/>
    <w:rsid w:val="40A520A1"/>
    <w:rsid w:val="41A118D0"/>
    <w:rsid w:val="41CA6F2B"/>
    <w:rsid w:val="42E21F43"/>
    <w:rsid w:val="43F0C751"/>
    <w:rsid w:val="44A22C54"/>
    <w:rsid w:val="44B4A39A"/>
    <w:rsid w:val="44BB8C37"/>
    <w:rsid w:val="45EAC6EC"/>
    <w:rsid w:val="477CFBFD"/>
    <w:rsid w:val="4792371E"/>
    <w:rsid w:val="48305636"/>
    <w:rsid w:val="49395EC4"/>
    <w:rsid w:val="495F1778"/>
    <w:rsid w:val="49C8CA36"/>
    <w:rsid w:val="4A1017AC"/>
    <w:rsid w:val="4AC82459"/>
    <w:rsid w:val="4B2CCA26"/>
    <w:rsid w:val="4BBD0182"/>
    <w:rsid w:val="4C08D850"/>
    <w:rsid w:val="4C145123"/>
    <w:rsid w:val="4C1DC426"/>
    <w:rsid w:val="4C224C8B"/>
    <w:rsid w:val="4D6E9AAB"/>
    <w:rsid w:val="4DCAB8E0"/>
    <w:rsid w:val="4E0045D7"/>
    <w:rsid w:val="4F43D328"/>
    <w:rsid w:val="503B88C5"/>
    <w:rsid w:val="50BD4A81"/>
    <w:rsid w:val="50C359DF"/>
    <w:rsid w:val="50E194D9"/>
    <w:rsid w:val="50FBEC3A"/>
    <w:rsid w:val="514707AD"/>
    <w:rsid w:val="5149CFDC"/>
    <w:rsid w:val="51842BA4"/>
    <w:rsid w:val="51A67D31"/>
    <w:rsid w:val="51E3413C"/>
    <w:rsid w:val="5280EB23"/>
    <w:rsid w:val="52A0705E"/>
    <w:rsid w:val="53974411"/>
    <w:rsid w:val="543D9A30"/>
    <w:rsid w:val="54FAEF75"/>
    <w:rsid w:val="556851E9"/>
    <w:rsid w:val="56178995"/>
    <w:rsid w:val="567104CB"/>
    <w:rsid w:val="569A01DC"/>
    <w:rsid w:val="56A12A9D"/>
    <w:rsid w:val="572CAA9D"/>
    <w:rsid w:val="572EA265"/>
    <w:rsid w:val="5745C5E6"/>
    <w:rsid w:val="57618820"/>
    <w:rsid w:val="58160FEE"/>
    <w:rsid w:val="58FAEAA7"/>
    <w:rsid w:val="5938A3A8"/>
    <w:rsid w:val="59CC7A4E"/>
    <w:rsid w:val="5A0886B9"/>
    <w:rsid w:val="5A2A68D5"/>
    <w:rsid w:val="5A319D34"/>
    <w:rsid w:val="5A5654C1"/>
    <w:rsid w:val="5A71FBFD"/>
    <w:rsid w:val="5AEA2C95"/>
    <w:rsid w:val="5B39C4F0"/>
    <w:rsid w:val="5B54F103"/>
    <w:rsid w:val="5B5721C1"/>
    <w:rsid w:val="5B6B651B"/>
    <w:rsid w:val="5BC8A2D0"/>
    <w:rsid w:val="5BFA46C7"/>
    <w:rsid w:val="5D3328F3"/>
    <w:rsid w:val="5D50A3A8"/>
    <w:rsid w:val="5D5A66E0"/>
    <w:rsid w:val="5D88C3BB"/>
    <w:rsid w:val="5EC08F76"/>
    <w:rsid w:val="5EC1C29C"/>
    <w:rsid w:val="5EE9A80A"/>
    <w:rsid w:val="5F230564"/>
    <w:rsid w:val="5F3743F1"/>
    <w:rsid w:val="5FABB8EA"/>
    <w:rsid w:val="6086CA58"/>
    <w:rsid w:val="6088652D"/>
    <w:rsid w:val="60B55A4B"/>
    <w:rsid w:val="60C69E0E"/>
    <w:rsid w:val="61596E19"/>
    <w:rsid w:val="6215D9CB"/>
    <w:rsid w:val="62219185"/>
    <w:rsid w:val="6283F5EA"/>
    <w:rsid w:val="62DFFF60"/>
    <w:rsid w:val="6311A312"/>
    <w:rsid w:val="63352286"/>
    <w:rsid w:val="63B505AB"/>
    <w:rsid w:val="63BA6BB1"/>
    <w:rsid w:val="64182AF4"/>
    <w:rsid w:val="643743EE"/>
    <w:rsid w:val="6464DF81"/>
    <w:rsid w:val="65D9736A"/>
    <w:rsid w:val="6692AEC3"/>
    <w:rsid w:val="672D6FC9"/>
    <w:rsid w:val="6746AA03"/>
    <w:rsid w:val="67F7D727"/>
    <w:rsid w:val="68194A36"/>
    <w:rsid w:val="686C4922"/>
    <w:rsid w:val="687314EF"/>
    <w:rsid w:val="68ECC2F7"/>
    <w:rsid w:val="696DACBF"/>
    <w:rsid w:val="696EFE30"/>
    <w:rsid w:val="6B6334C2"/>
    <w:rsid w:val="6BCA5664"/>
    <w:rsid w:val="6C265085"/>
    <w:rsid w:val="6CCDCEB2"/>
    <w:rsid w:val="6CDD4145"/>
    <w:rsid w:val="6FC131E6"/>
    <w:rsid w:val="7002027E"/>
    <w:rsid w:val="70608C2F"/>
    <w:rsid w:val="708C572A"/>
    <w:rsid w:val="70A0497E"/>
    <w:rsid w:val="70A2C3EB"/>
    <w:rsid w:val="70C00B46"/>
    <w:rsid w:val="70CB4BB1"/>
    <w:rsid w:val="70E14A96"/>
    <w:rsid w:val="718FE21B"/>
    <w:rsid w:val="71D92D29"/>
    <w:rsid w:val="72591622"/>
    <w:rsid w:val="72D972CF"/>
    <w:rsid w:val="73621FC5"/>
    <w:rsid w:val="7382A627"/>
    <w:rsid w:val="73E79B65"/>
    <w:rsid w:val="743B4CB8"/>
    <w:rsid w:val="749CD2C7"/>
    <w:rsid w:val="74F51B8C"/>
    <w:rsid w:val="75742701"/>
    <w:rsid w:val="75B1DA5D"/>
    <w:rsid w:val="760FBD30"/>
    <w:rsid w:val="76275767"/>
    <w:rsid w:val="763064F2"/>
    <w:rsid w:val="77A65BAD"/>
    <w:rsid w:val="79BED94B"/>
    <w:rsid w:val="7A36ABBD"/>
    <w:rsid w:val="7A563679"/>
    <w:rsid w:val="7A7EC241"/>
    <w:rsid w:val="7ABFA255"/>
    <w:rsid w:val="7B0703AA"/>
    <w:rsid w:val="7B75386C"/>
    <w:rsid w:val="7B97219F"/>
    <w:rsid w:val="7BE07F7D"/>
    <w:rsid w:val="7C7157FC"/>
    <w:rsid w:val="7CCA1C6B"/>
    <w:rsid w:val="7CE2202F"/>
    <w:rsid w:val="7CE6B83E"/>
    <w:rsid w:val="7D0003E6"/>
    <w:rsid w:val="7D33FFC5"/>
    <w:rsid w:val="7E1DFB5C"/>
    <w:rsid w:val="7E8318D3"/>
    <w:rsid w:val="7FD3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14:docId w14:val="7E5FD296"/>
  <w15:docId w15:val="{B01D328C-F7E5-4E0D-9B36-541C3CFD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4D5BA5"/>
    <w:pPr>
      <w:ind w:left="720"/>
      <w:contextualSpacing/>
    </w:pPr>
  </w:style>
  <w:style w:type="table" w:styleId="TableGrid">
    <w:name w:val="Table Grid"/>
    <w:basedOn w:val="TableNormal"/>
    <w:rsid w:val="000C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5C42"/>
    <w:rPr>
      <w:color w:val="808080"/>
    </w:rPr>
  </w:style>
  <w:style w:type="paragraph" w:styleId="TOCHeading">
    <w:name w:val="TOC Heading"/>
    <w:basedOn w:val="Heading1"/>
    <w:next w:val="Normal"/>
    <w:uiPriority w:val="39"/>
    <w:unhideWhenUsed/>
    <w:qFormat/>
    <w:rsid w:val="009877A1"/>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semiHidden/>
    <w:unhideWhenUsed/>
    <w:rsid w:val="003D0E4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D0E4E"/>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C728E2"/>
    <w:rPr>
      <w:b/>
      <w:bCs/>
    </w:rPr>
  </w:style>
  <w:style w:type="character" w:customStyle="1" w:styleId="CommentSubjectChar">
    <w:name w:val="Comment Subject Char"/>
    <w:basedOn w:val="CommentTextChar"/>
    <w:link w:val="CommentSubject"/>
    <w:semiHidden/>
    <w:rsid w:val="00C728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418793">
      <w:bodyDiv w:val="1"/>
      <w:marLeft w:val="0"/>
      <w:marRight w:val="0"/>
      <w:marTop w:val="0"/>
      <w:marBottom w:val="0"/>
      <w:divBdr>
        <w:top w:val="none" w:sz="0" w:space="0" w:color="auto"/>
        <w:left w:val="none" w:sz="0" w:space="0" w:color="auto"/>
        <w:bottom w:val="none" w:sz="0" w:space="0" w:color="auto"/>
        <w:right w:val="none" w:sz="0" w:space="0" w:color="auto"/>
      </w:divBdr>
    </w:div>
    <w:div w:id="12006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LIGO-T980044/public" TargetMode="External"/><Relationship Id="rId18" Type="http://schemas.openxmlformats.org/officeDocument/2006/relationships/hyperlink" Target="https://dcc.ligo.org/LIGO-T980044/public" TargetMode="External"/><Relationship Id="rId26" Type="http://schemas.openxmlformats.org/officeDocument/2006/relationships/hyperlink" Target="https://doi.org/10.5066/F7NK3C76" TargetMode="External"/><Relationship Id="rId39" Type="http://schemas.openxmlformats.org/officeDocument/2006/relationships/hyperlink" Target="https://dcc.ligo.org/LIGO-T2000431/public" TargetMode="External"/><Relationship Id="rId21" Type="http://schemas.openxmlformats.org/officeDocument/2006/relationships/hyperlink" Target="https://dcc.ligo.org/LIGO-E010613/public" TargetMode="External"/><Relationship Id="rId34" Type="http://schemas.openxmlformats.org/officeDocument/2006/relationships/header" Target="header1.xml"/><Relationship Id="rId42" Type="http://schemas.openxmlformats.org/officeDocument/2006/relationships/image" Target="media/image12.png"/><Relationship Id="rId47" Type="http://schemas.openxmlformats.org/officeDocument/2006/relationships/hyperlink" Target="https://dcc.ligo.org/LIGO-D1900443/public" TargetMode="External"/><Relationship Id="rId50" Type="http://schemas.openxmlformats.org/officeDocument/2006/relationships/image" Target="media/image19.png"/><Relationship Id="rId55" Type="http://schemas.openxmlformats.org/officeDocument/2006/relationships/hyperlink" Target="https://dcc.ligo.org/LIGO-T2000280" TargetMode="External"/><Relationship Id="rId63" Type="http://schemas.openxmlformats.org/officeDocument/2006/relationships/footer" Target="foot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cc.ligo.org/LIGO-E200038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dcc.ligo.org/LIGO-C930032/public" TargetMode="External"/><Relationship Id="rId32" Type="http://schemas.openxmlformats.org/officeDocument/2006/relationships/hyperlink" Target="https://dcc.ligo.org/LIGO-T940074" TargetMode="External"/><Relationship Id="rId37" Type="http://schemas.openxmlformats.org/officeDocument/2006/relationships/header" Target="header2.xml"/><Relationship Id="rId40" Type="http://schemas.openxmlformats.org/officeDocument/2006/relationships/image" Target="media/image11.emf"/><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hyperlink" Target="https://dcc.ligo.org/LIGO-D961582-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cc.ligo.org/LIGO-M2000160" TargetMode="External"/><Relationship Id="rId23" Type="http://schemas.openxmlformats.org/officeDocument/2006/relationships/hyperlink" Target="https://dcc.ligo.org/LIGO-T2000280/public" TargetMode="External"/><Relationship Id="rId28" Type="http://schemas.openxmlformats.org/officeDocument/2006/relationships/image" Target="media/image5.png"/><Relationship Id="rId36" Type="http://schemas.openxmlformats.org/officeDocument/2006/relationships/footer" Target="footer2.xml"/><Relationship Id="rId49" Type="http://schemas.openxmlformats.org/officeDocument/2006/relationships/image" Target="media/image18.png"/><Relationship Id="rId57" Type="http://schemas.openxmlformats.org/officeDocument/2006/relationships/image" Target="media/image24.png"/><Relationship Id="rId61" Type="http://schemas.openxmlformats.org/officeDocument/2006/relationships/hyperlink" Target="https://dcc.ligo.org/LIGO-T1900628" TargetMode="External"/><Relationship Id="rId10" Type="http://schemas.openxmlformats.org/officeDocument/2006/relationships/hyperlink" Target="https://dcc.ligo.org/LIGO-D1900456/public" TargetMode="External"/><Relationship Id="rId19" Type="http://schemas.openxmlformats.org/officeDocument/2006/relationships/hyperlink" Target="https://dcc.ligo.org/LIGO-T2000002" TargetMode="Externa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hyperlink" Target="https://dcc.ligo.org/LIGO-E1000712"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dcc.ligo.org/LIGO-D1900456/public" TargetMode="External"/><Relationship Id="rId14" Type="http://schemas.openxmlformats.org/officeDocument/2006/relationships/hyperlink" Target="https://dcc.ligo.org/LIGO-D960917" TargetMode="External"/><Relationship Id="rId22" Type="http://schemas.openxmlformats.org/officeDocument/2006/relationships/hyperlink" Target="https://dcc.ligo.org/LIGO-E010613/public"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1.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dcc.ligo.org/LIGO-E970033" TargetMode="External"/><Relationship Id="rId64"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image" Target="media/image20.png"/><Relationship Id="R06c69bdde0b548ba"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dcc.ligo.org/LIGO-E2000380" TargetMode="External"/><Relationship Id="rId25" Type="http://schemas.openxmlformats.org/officeDocument/2006/relationships/hyperlink" Target="https://dcc.ligo.org/LIGO-C940056/public" TargetMode="External"/><Relationship Id="rId33" Type="http://schemas.openxmlformats.org/officeDocument/2006/relationships/hyperlink" Target="https://dcc.ligo.org/LIGO-C960366" TargetMode="External"/><Relationship Id="rId38" Type="http://schemas.openxmlformats.org/officeDocument/2006/relationships/image" Target="media/image10.emf"/><Relationship Id="rId46" Type="http://schemas.openxmlformats.org/officeDocument/2006/relationships/image" Target="media/image16.emf"/><Relationship Id="rId59" Type="http://schemas.openxmlformats.org/officeDocument/2006/relationships/hyperlink" Target="https://dcc.ligo.org/LIGO-C962994" TargetMode="External"/><Relationship Id="rId67" Type="http://schemas.openxmlformats.org/officeDocument/2006/relationships/glossaryDocument" Target="glossary/document.xml"/><Relationship Id="R8d03991a7e1d468b" Type="http://schemas.microsoft.com/office/2018/08/relationships/commentsExtensible" Target="commentsExtensible.xml"/><Relationship Id="rId20" Type="http://schemas.openxmlformats.org/officeDocument/2006/relationships/hyperlink" Target="https://dcc.ligo.org/LIGO-T2000475" TargetMode="External"/><Relationship Id="rId41" Type="http://schemas.openxmlformats.org/officeDocument/2006/relationships/hyperlink" Target="https://dcc.ligo.org/LIGO-T2000431/public" TargetMode="External"/><Relationship Id="rId54" Type="http://schemas.openxmlformats.org/officeDocument/2006/relationships/image" Target="media/image23.png"/><Relationship Id="rId6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dcc.ligo.org/LIGO-T2000280/public" TargetMode="External"/><Relationship Id="rId2" Type="http://schemas.openxmlformats.org/officeDocument/2006/relationships/hyperlink" Target="https://dcc.ligo.org/LIGO-T2000002/public" TargetMode="External"/><Relationship Id="rId1" Type="http://schemas.openxmlformats.org/officeDocument/2006/relationships/hyperlink" Target="https://dcc.ligo.org/LIGO-T2000475/public" TargetMode="External"/><Relationship Id="rId6" Type="http://schemas.openxmlformats.org/officeDocument/2006/relationships/hyperlink" Target="https://www.hilti.com/content/hilti/W1/US/en/engineering/software/hilti-software/structural-engineering/profis-engineering-suite.html" TargetMode="External"/><Relationship Id="rId5" Type="http://schemas.openxmlformats.org/officeDocument/2006/relationships/hyperlink" Target="https://www.hilti.com/medias/sys_master/documents/hbf/9175927062558/Product_Technical_Guide_Excerpt_for_ACI_318_Chapter_17_Strength_Design_-_SD_LRFD_Technical_information_ASSET_DOC_LOC_5941017.pdf" TargetMode="External"/><Relationship Id="rId4" Type="http://schemas.openxmlformats.org/officeDocument/2006/relationships/hyperlink" Target="https://edu.truboprovod.ru/kbase/doc/start/WebHelp_en/index.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AF"/>
    <w:rsid w:val="00E45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4A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DFF40-0B04-4AE9-B7AF-57FF54EC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11538</TotalTime>
  <Pages>33</Pages>
  <Words>6760</Words>
  <Characters>39997</Characters>
  <Application>Microsoft Office Word</Application>
  <DocSecurity>0</DocSecurity>
  <Lines>1428</Lines>
  <Paragraphs>1298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Dennis Coyne</cp:lastModifiedBy>
  <cp:revision>20</cp:revision>
  <cp:lastPrinted>2019-09-20T19:43:00Z</cp:lastPrinted>
  <dcterms:created xsi:type="dcterms:W3CDTF">2020-07-26T00:08:00Z</dcterms:created>
  <dcterms:modified xsi:type="dcterms:W3CDTF">2020-09-10T06:12:00Z</dcterms:modified>
</cp:coreProperties>
</file>