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14:paraId="537E24BC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1162429F" w14:textId="77777777"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01A28969" w14:textId="70917A75" w:rsidR="00C22B7B" w:rsidRPr="00C22B7B" w:rsidRDefault="003C557C" w:rsidP="004449B8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Overview of High-Reliability Ultra-fast Mechanical Shutter</w:t>
            </w:r>
          </w:p>
        </w:tc>
      </w:tr>
      <w:tr w:rsidR="00C22B7B" w14:paraId="2A52DBEF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95424DB" w14:textId="77777777"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1C169B5C" w14:textId="6141B47C" w:rsidR="00C22B7B" w:rsidRPr="00C22B7B" w:rsidRDefault="00AD560B" w:rsidP="003C557C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Abbott,</w:t>
            </w:r>
            <w:r w:rsidR="009C2DB6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3C557C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P. </w:t>
            </w:r>
            <w:proofErr w:type="spellStart"/>
            <w:r w:rsidR="003C557C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Fritschel</w:t>
            </w:r>
            <w:proofErr w:type="spellEnd"/>
            <w:r w:rsidR="003C557C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, K. Sreedhar</w:t>
            </w:r>
          </w:p>
        </w:tc>
      </w:tr>
      <w:tr w:rsidR="00C22B7B" w14:paraId="7173F27B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7CC2C8D" w14:textId="77777777"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7ED5F70F" w14:textId="7386E02E" w:rsidR="00C22B7B" w:rsidRPr="00C22B7B" w:rsidRDefault="003C557C" w:rsidP="00721C5D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1</w:t>
            </w:r>
            <w:r w:rsidR="00265B46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3</w:t>
            </w:r>
            <w:r w:rsidR="00267104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265B46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May</w:t>
            </w:r>
            <w:r w:rsidR="00AD560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20</w:t>
            </w:r>
            <w:r w:rsidR="00265B46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</w:tr>
    </w:tbl>
    <w:p w14:paraId="082A5897" w14:textId="77777777"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46A3" wp14:editId="5817C3BD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5E7B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0689AD9" w14:textId="77777777" w:rsidR="003C557C" w:rsidRDefault="003C557C" w:rsidP="003C557C">
      <w:pPr>
        <w:pStyle w:val="Heading1"/>
        <w:numPr>
          <w:ilvl w:val="0"/>
          <w:numId w:val="0"/>
        </w:numPr>
      </w:pPr>
      <w:r>
        <w:t>Background</w:t>
      </w:r>
    </w:p>
    <w:p w14:paraId="680930E6" w14:textId="77777777" w:rsidR="003C557C" w:rsidRDefault="003C557C" w:rsidP="003C557C">
      <w:pPr>
        <w:pStyle w:val="NoSpacing"/>
      </w:pPr>
    </w:p>
    <w:p w14:paraId="43A5DEFE" w14:textId="1CB1BC9C" w:rsidR="003C557C" w:rsidRDefault="003C557C" w:rsidP="003C557C">
      <w:pPr>
        <w:pStyle w:val="NoSpacing"/>
      </w:pPr>
      <w:r>
        <w:t>This system offers a novel and robust solution compared to the previously patented electro-magnetic ultra-fast shutter due to the design of a moving payload consisting of magnets and a mirror with no wires attached, compared to the previous design comprised of a moving coil requiring electrical attachment. As a result, this system avoids the failure mode associated with wire fatigue caused by repeated flexure of the coil attachment wires</w:t>
      </w:r>
      <w:proofErr w:type="gramStart"/>
      <w:r>
        <w:t xml:space="preserve">. </w:t>
      </w:r>
      <w:proofErr w:type="gramEnd"/>
      <w:r>
        <w:t xml:space="preserve">With </w:t>
      </w:r>
      <w:r w:rsidR="00265B46">
        <w:t xml:space="preserve">a </w:t>
      </w:r>
      <w:r>
        <w:t xml:space="preserve">stationary coil, this system uses </w:t>
      </w:r>
      <w:r w:rsidR="00265B46">
        <w:t xml:space="preserve">a </w:t>
      </w:r>
      <w:r>
        <w:t>permanent magnet for the upward propulsion of the payload</w:t>
      </w:r>
      <w:proofErr w:type="gramStart"/>
      <w:r>
        <w:t xml:space="preserve">. </w:t>
      </w:r>
      <w:proofErr w:type="gramEnd"/>
      <w:r>
        <w:t>Eddy current damping provided by copper interacting with the payload magnets is included to damp the oscillatory transient response of the payload</w:t>
      </w:r>
      <w:proofErr w:type="gramStart"/>
      <w:r>
        <w:t xml:space="preserve">. </w:t>
      </w:r>
      <w:proofErr w:type="gramEnd"/>
      <w:r>
        <w:t>This newly designed system achieves the same critical performance specifications as the previously patented ultra-fast mechanical shutter, while being physically smaller, cheaper to build, and vastly more reliable.</w:t>
      </w:r>
    </w:p>
    <w:p w14:paraId="4D687E47" w14:textId="77777777" w:rsidR="003C557C" w:rsidRDefault="003C557C" w:rsidP="003C557C">
      <w:pPr>
        <w:pStyle w:val="NoSpacing"/>
      </w:pPr>
    </w:p>
    <w:p w14:paraId="3CC158FD" w14:textId="77777777" w:rsidR="003C557C" w:rsidRDefault="003C557C" w:rsidP="003C557C">
      <w:pPr>
        <w:pStyle w:val="Heading1"/>
        <w:numPr>
          <w:ilvl w:val="0"/>
          <w:numId w:val="0"/>
        </w:numPr>
      </w:pPr>
      <w:r>
        <w:t>Summary</w:t>
      </w:r>
    </w:p>
    <w:p w14:paraId="607FAAAA" w14:textId="77777777" w:rsidR="003C557C" w:rsidRDefault="003C557C" w:rsidP="003C557C">
      <w:pPr>
        <w:pStyle w:val="NoSpacing"/>
      </w:pPr>
    </w:p>
    <w:p w14:paraId="1CC323E9" w14:textId="7AB11CC4" w:rsidR="003C557C" w:rsidRDefault="003C557C" w:rsidP="003C557C">
      <w:pPr>
        <w:pStyle w:val="NoSpacing"/>
      </w:pPr>
      <w:r>
        <w:t xml:space="preserve">An electro-mechanical device is described, comprising: </w:t>
      </w:r>
      <w:r w:rsidR="00265B46">
        <w:t>a solenoidal coil</w:t>
      </w:r>
      <w:r>
        <w:t xml:space="preserve">, comprising windings of electrically conducting wire and a payload consisting of </w:t>
      </w:r>
      <w:r w:rsidR="00265B46">
        <w:t>a single</w:t>
      </w:r>
      <w:r>
        <w:t xml:space="preserve"> magnet</w:t>
      </w:r>
      <w:r w:rsidR="00FA5C49">
        <w:t xml:space="preserve"> </w:t>
      </w:r>
      <w:r>
        <w:t xml:space="preserve">configured to move </w:t>
      </w:r>
      <w:r w:rsidR="00FA5C49">
        <w:t xml:space="preserve">linearly </w:t>
      </w:r>
      <w:r w:rsidR="001406B4">
        <w:t>along the longitudinal axis</w:t>
      </w:r>
      <w:r>
        <w:t xml:space="preserve"> of the electro-mechanical device. </w:t>
      </w:r>
    </w:p>
    <w:p w14:paraId="0545678E" w14:textId="77777777" w:rsidR="003C557C" w:rsidRDefault="003C557C" w:rsidP="003C557C">
      <w:pPr>
        <w:pStyle w:val="NoSpacing"/>
      </w:pPr>
    </w:p>
    <w:p w14:paraId="52A2781E" w14:textId="0FFBBF35" w:rsidR="003C557C" w:rsidRDefault="003C557C" w:rsidP="003C557C">
      <w:pPr>
        <w:pStyle w:val="NoSpacing"/>
      </w:pPr>
      <w:r>
        <w:t xml:space="preserve">The system specifically contains coils that consist of approximately 300 turns of 32 AWG polyimide-insulated copper wire, </w:t>
      </w:r>
      <w:r w:rsidR="001406B4">
        <w:t>a</w:t>
      </w:r>
      <w:r>
        <w:t xml:space="preserve"> </w:t>
      </w:r>
      <w:r w:rsidR="001406B4">
        <w:t xml:space="preserve">rectangular </w:t>
      </w:r>
      <w:r>
        <w:t>NdFeB grade</w:t>
      </w:r>
      <w:r w:rsidR="00047BEC">
        <w:t>-</w:t>
      </w:r>
      <w:r>
        <w:t>52 magnet, and a thin mirror, which can reflect optical beams such as laser light</w:t>
      </w:r>
      <w:proofErr w:type="gramStart"/>
      <w:r>
        <w:t xml:space="preserve">. </w:t>
      </w:r>
      <w:proofErr w:type="gramEnd"/>
      <w:r>
        <w:t xml:space="preserve">The mirror is attached to the magnet payload and free to move </w:t>
      </w:r>
      <w:r w:rsidR="00197512">
        <w:t xml:space="preserve">along the longitudinal </w:t>
      </w:r>
      <w:r>
        <w:t>axis within the magnetic field of the coil</w:t>
      </w:r>
      <w:r w:rsidR="000E483B">
        <w:t xml:space="preserve">.  </w:t>
      </w:r>
      <w:r>
        <w:t xml:space="preserve">When a current is applied to the coil, the magnet and attached mirror can move </w:t>
      </w:r>
      <w:r w:rsidR="008C724F">
        <w:t>axially</w:t>
      </w:r>
      <w:r>
        <w:t xml:space="preserve"> relative to the coil, due to the electromagnetic interactions between the current in the coil and the magnet</w:t>
      </w:r>
      <w:proofErr w:type="gramStart"/>
      <w:r>
        <w:t xml:space="preserve">. </w:t>
      </w:r>
      <w:proofErr w:type="gramEnd"/>
      <w:r>
        <w:t xml:space="preserve">The movement of the mirror can then allow blocking of </w:t>
      </w:r>
      <w:r w:rsidR="008C724F">
        <w:t>an</w:t>
      </w:r>
      <w:r>
        <w:t xml:space="preserve"> optical beam</w:t>
      </w:r>
      <w:proofErr w:type="gramStart"/>
      <w:r>
        <w:t xml:space="preserve">. </w:t>
      </w:r>
      <w:proofErr w:type="gramEnd"/>
      <w:r>
        <w:t>In this way, an off/on shutter can be realized</w:t>
      </w:r>
      <w:r w:rsidR="008C724F">
        <w:t xml:space="preserve">.  </w:t>
      </w:r>
      <w:r>
        <w:t xml:space="preserve">With </w:t>
      </w:r>
      <w:r w:rsidR="008E0A71">
        <w:t xml:space="preserve">the addition of a </w:t>
      </w:r>
      <w:r>
        <w:t>copper damping element, dynamic control of the magnet and the attached mirror can be achieved</w:t>
      </w:r>
      <w:proofErr w:type="gramStart"/>
      <w:r>
        <w:t xml:space="preserve">. </w:t>
      </w:r>
      <w:proofErr w:type="gramEnd"/>
      <w:r>
        <w:t>The system can be operated in air or in a vacuum environment over a wide range of temperature and cleanliness requirements.</w:t>
      </w:r>
    </w:p>
    <w:p w14:paraId="3DE70651" w14:textId="3A795B93" w:rsidR="00AB4935" w:rsidRDefault="00AB4935">
      <w:pPr>
        <w:ind w:firstLine="0"/>
        <w:rPr>
          <w:sz w:val="24"/>
          <w:szCs w:val="24"/>
        </w:rPr>
      </w:pPr>
      <w:r>
        <w:br w:type="page"/>
      </w:r>
    </w:p>
    <w:p w14:paraId="5CBADDBC" w14:textId="77777777" w:rsidR="003C557C" w:rsidRDefault="003C557C" w:rsidP="003C557C">
      <w:pPr>
        <w:pStyle w:val="NoSpacing"/>
      </w:pPr>
    </w:p>
    <w:p w14:paraId="62EA2F16" w14:textId="77777777" w:rsidR="003C557C" w:rsidRDefault="003C557C" w:rsidP="003C557C">
      <w:pPr>
        <w:pStyle w:val="Heading1"/>
        <w:numPr>
          <w:ilvl w:val="0"/>
          <w:numId w:val="0"/>
        </w:numPr>
      </w:pPr>
      <w:r>
        <w:t>Description</w:t>
      </w:r>
    </w:p>
    <w:p w14:paraId="4D1D3AC7" w14:textId="77777777" w:rsidR="003C557C" w:rsidRDefault="003C557C" w:rsidP="003C557C">
      <w:pPr>
        <w:pStyle w:val="NoSpacing"/>
      </w:pPr>
    </w:p>
    <w:p w14:paraId="7564D1AF" w14:textId="0A3DCB8E" w:rsidR="003C557C" w:rsidRDefault="003C557C" w:rsidP="003C557C">
      <w:pPr>
        <w:pStyle w:val="NoSpacing"/>
      </w:pPr>
      <w:r>
        <w:t xml:space="preserve">The physical assembly of the system consists of </w:t>
      </w:r>
      <w:r>
        <w:rPr>
          <w:noProof/>
        </w:rPr>
        <w:t xml:space="preserve">PEEK body </w:t>
      </w:r>
      <w:r w:rsidR="008E0A71">
        <w:rPr>
          <w:noProof/>
        </w:rPr>
        <w:t>upon which are wound</w:t>
      </w:r>
      <w:r>
        <w:rPr>
          <w:noProof/>
        </w:rPr>
        <w:t xml:space="preserve"> approximately 300 turns of 32 AWG polyimide-insulated copper wire as well as a payload </w:t>
      </w:r>
      <w:r w:rsidR="00296579">
        <w:rPr>
          <w:noProof/>
        </w:rPr>
        <w:t>comprised of a</w:t>
      </w:r>
      <w:r>
        <w:rPr>
          <w:noProof/>
        </w:rPr>
        <w:t xml:space="preserve"> NdFeB grade 52 magnet and one thin mirror affixed to a magnet (Figure 1).</w:t>
      </w:r>
    </w:p>
    <w:p w14:paraId="37CD2E45" w14:textId="77777777" w:rsidR="003C557C" w:rsidRDefault="003C557C" w:rsidP="003C557C">
      <w:pPr>
        <w:pStyle w:val="NoSpacing"/>
      </w:pPr>
    </w:p>
    <w:p w14:paraId="5574E51B" w14:textId="47957407" w:rsidR="003C557C" w:rsidRDefault="003C557C" w:rsidP="003C557C">
      <w:pPr>
        <w:pStyle w:val="NoSpacing"/>
      </w:pPr>
      <w:r>
        <w:t>When voltage is applied to the coil, the current through the coil generates a magnetic field resulting in a net upward force on the magnet</w:t>
      </w:r>
      <w:r w:rsidR="00296579">
        <w:t xml:space="preserve">.  </w:t>
      </w:r>
      <w:r>
        <w:t>This force activates the system and accelerates the mirror and magnet payload upward to block an optical pulse (Figure 2).</w:t>
      </w:r>
    </w:p>
    <w:p w14:paraId="00862710" w14:textId="77777777" w:rsidR="003C557C" w:rsidRDefault="003C557C" w:rsidP="003C557C">
      <w:pPr>
        <w:pStyle w:val="NoSpacing"/>
      </w:pPr>
    </w:p>
    <w:p w14:paraId="359533A8" w14:textId="6235702D" w:rsidR="003C557C" w:rsidRDefault="001E03D2" w:rsidP="003C557C">
      <w:pPr>
        <w:pStyle w:val="NoSpacing"/>
      </w:pPr>
      <w:r>
        <w:t xml:space="preserve">As the magnet travels axially </w:t>
      </w:r>
      <w:r w:rsidR="005B1973">
        <w:t>beyond the center point of the coil</w:t>
      </w:r>
      <w:r w:rsidR="003C557C">
        <w:t>, th</w:t>
      </w:r>
      <w:r w:rsidR="00F849AB">
        <w:t>e</w:t>
      </w:r>
      <w:r w:rsidR="003C557C">
        <w:t xml:space="preserve"> magnet experiences a net </w:t>
      </w:r>
      <w:r w:rsidR="00F849AB">
        <w:t>deceleration</w:t>
      </w:r>
      <w:r w:rsidR="003C557C">
        <w:t xml:space="preserve"> force due its magnetization direction and the direction of the </w:t>
      </w:r>
      <w:r w:rsidR="00CD79C7">
        <w:t>magnetic field</w:t>
      </w:r>
      <w:r w:rsidR="003C557C">
        <w:t xml:space="preserve"> in the top part of the coil</w:t>
      </w:r>
      <w:proofErr w:type="gramStart"/>
      <w:r w:rsidR="003C557C">
        <w:t xml:space="preserve">. </w:t>
      </w:r>
      <w:proofErr w:type="gramEnd"/>
      <w:r w:rsidR="003C557C">
        <w:t xml:space="preserve">This </w:t>
      </w:r>
      <w:r w:rsidR="00CD79C7">
        <w:t>decelerating force provides a non-contact means to arrest the magnet-mirror payload without need of mechanical stops</w:t>
      </w:r>
      <w:r w:rsidR="00A55369">
        <w:t>.  This feature adds to the overall cleanliness of the system as rubbing and associated particle generation is avoided</w:t>
      </w:r>
      <w:r w:rsidR="00CD79C7">
        <w:t xml:space="preserve">.  </w:t>
      </w:r>
      <w:r w:rsidR="003C557C">
        <w:t>The copper damping</w:t>
      </w:r>
      <w:r w:rsidR="00A55369">
        <w:t xml:space="preserve"> assembly</w:t>
      </w:r>
      <w:r w:rsidR="003C557C">
        <w:t xml:space="preserve"> </w:t>
      </w:r>
      <w:r w:rsidR="00EC6F91">
        <w:t>eliminates excessive overshoot</w:t>
      </w:r>
      <w:r w:rsidR="003C557C">
        <w:t xml:space="preserve"> of the payload that could result in any unblocking of the optical pulse </w:t>
      </w:r>
      <w:r w:rsidR="00433C90">
        <w:t>due to the oscillatory nature of the undamped magnet</w:t>
      </w:r>
      <w:r w:rsidR="003C557C">
        <w:t>.</w:t>
      </w:r>
    </w:p>
    <w:p w14:paraId="0173A2E5" w14:textId="505336EB" w:rsidR="003C557C" w:rsidRDefault="003C557C" w:rsidP="003C557C">
      <w:pPr>
        <w:pStyle w:val="NoSpacing"/>
      </w:pPr>
    </w:p>
    <w:p w14:paraId="3442C602" w14:textId="646BBFC8" w:rsidR="00AB4935" w:rsidRDefault="00AB4935" w:rsidP="00AB4935">
      <w:pPr>
        <w:pStyle w:val="Caption"/>
      </w:pPr>
      <w:r>
        <w:t xml:space="preserve">Figure </w:t>
      </w:r>
      <w:fldSimple w:instr=" SEQ Figure \* ARABIC ">
        <w:r w:rsidR="00B56A42">
          <w:rPr>
            <w:noProof/>
          </w:rPr>
          <w:t>1</w:t>
        </w:r>
      </w:fldSimple>
      <w:r w:rsidR="00D254FA">
        <w:t xml:space="preserve"> Coil form assembly</w:t>
      </w:r>
    </w:p>
    <w:p w14:paraId="7E9AF5BD" w14:textId="508093E5" w:rsidR="00AB4935" w:rsidRDefault="00AB4935" w:rsidP="00A43740">
      <w:pPr>
        <w:pStyle w:val="NoSpacing"/>
        <w:jc w:val="center"/>
      </w:pPr>
      <w:r>
        <w:rPr>
          <w:noProof/>
        </w:rPr>
        <w:drawing>
          <wp:inline distT="0" distB="0" distL="0" distR="0" wp14:anchorId="6FB6AB34" wp14:editId="44779419">
            <wp:extent cx="3724275" cy="336777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5435" cy="337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558D" w14:textId="79F7F003" w:rsidR="00A43740" w:rsidRDefault="00A43740" w:rsidP="003C557C">
      <w:pPr>
        <w:pStyle w:val="NoSpacing"/>
      </w:pPr>
    </w:p>
    <w:p w14:paraId="37BF9189" w14:textId="77777777" w:rsidR="00A43740" w:rsidRDefault="00A43740" w:rsidP="003C557C">
      <w:pPr>
        <w:pStyle w:val="NoSpacing"/>
      </w:pPr>
    </w:p>
    <w:p w14:paraId="06072B8E" w14:textId="7E14969E" w:rsidR="00D254FA" w:rsidRDefault="00D254FA" w:rsidP="00D254FA">
      <w:pPr>
        <w:pStyle w:val="Caption"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56A42">
        <w:rPr>
          <w:noProof/>
        </w:rPr>
        <w:t>2</w:t>
      </w:r>
      <w:r>
        <w:fldChar w:fldCharType="end"/>
      </w:r>
      <w:r>
        <w:t xml:space="preserve"> Mirror (blue) and magnet (red) assembly</w:t>
      </w:r>
    </w:p>
    <w:p w14:paraId="5C1E97AA" w14:textId="77777777" w:rsidR="00D254FA" w:rsidRDefault="00D254FA" w:rsidP="00D254FA">
      <w:pPr>
        <w:pStyle w:val="NoSpacing"/>
        <w:jc w:val="center"/>
      </w:pPr>
      <w:r>
        <w:rPr>
          <w:noProof/>
        </w:rPr>
        <w:drawing>
          <wp:inline distT="0" distB="0" distL="0" distR="0" wp14:anchorId="3ABC16F0" wp14:editId="5CC8B76C">
            <wp:extent cx="1257300" cy="2727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7936" cy="275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2DA0" w14:textId="77777777" w:rsidR="00D254FA" w:rsidRDefault="00D254FA" w:rsidP="00D254FA">
      <w:pPr>
        <w:pStyle w:val="NoSpacing"/>
        <w:jc w:val="center"/>
      </w:pPr>
    </w:p>
    <w:p w14:paraId="37EB7944" w14:textId="5CEF5BF2" w:rsidR="003C557C" w:rsidRDefault="003C557C" w:rsidP="003C557C">
      <w:pPr>
        <w:pStyle w:val="NoSpacing"/>
        <w:jc w:val="center"/>
        <w:rPr>
          <w:noProof/>
        </w:rPr>
      </w:pPr>
    </w:p>
    <w:p w14:paraId="5F9804B6" w14:textId="77777777" w:rsidR="003C557C" w:rsidRDefault="003C557C" w:rsidP="003C557C">
      <w:pPr>
        <w:pStyle w:val="NoSpacing"/>
        <w:rPr>
          <w:noProof/>
        </w:rPr>
      </w:pPr>
    </w:p>
    <w:p w14:paraId="65F9A03E" w14:textId="77777777" w:rsidR="003C557C" w:rsidRDefault="003C557C" w:rsidP="003C557C">
      <w:pPr>
        <w:pStyle w:val="NoSpacing"/>
        <w:rPr>
          <w:noProof/>
        </w:rPr>
      </w:pPr>
    </w:p>
    <w:p w14:paraId="65AF8D96" w14:textId="14941C68" w:rsidR="00D81388" w:rsidRDefault="00D81388" w:rsidP="00D8138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Actual data showing 1.96mSec blocking time</w:t>
      </w:r>
    </w:p>
    <w:p w14:paraId="34855A78" w14:textId="0CC42C97" w:rsidR="003C557C" w:rsidRDefault="00D81388" w:rsidP="003C557C">
      <w:pPr>
        <w:pStyle w:val="NoSpacing"/>
        <w:jc w:val="center"/>
      </w:pPr>
      <w:r>
        <w:rPr>
          <w:noProof/>
        </w:rPr>
        <w:drawing>
          <wp:inline distT="0" distB="0" distL="0" distR="0" wp14:anchorId="599ED8E4" wp14:editId="3DF37F5D">
            <wp:extent cx="4448175" cy="3352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3AF3985" w14:textId="77777777" w:rsidR="003C557C" w:rsidRDefault="003C557C" w:rsidP="003C557C">
      <w:pPr>
        <w:pStyle w:val="NoSpacing"/>
      </w:pPr>
    </w:p>
    <w:p w14:paraId="2B02D29A" w14:textId="5A94FADB" w:rsidR="005E51BF" w:rsidRPr="00DB2931" w:rsidRDefault="005E51BF" w:rsidP="003C557C">
      <w:pPr>
        <w:ind w:left="360"/>
      </w:pPr>
    </w:p>
    <w:sectPr w:rsidR="005E51BF" w:rsidRPr="00DB2931" w:rsidSect="004C6B3C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677B" w14:textId="77777777" w:rsidR="006153A5" w:rsidRDefault="006153A5" w:rsidP="00E428FF">
      <w:r>
        <w:separator/>
      </w:r>
    </w:p>
  </w:endnote>
  <w:endnote w:type="continuationSeparator" w:id="0">
    <w:p w14:paraId="32948AE5" w14:textId="77777777" w:rsidR="006153A5" w:rsidRDefault="006153A5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58A2" w14:textId="77777777" w:rsidR="006153A5" w:rsidRDefault="006153A5" w:rsidP="00E428FF">
      <w:r>
        <w:separator/>
      </w:r>
    </w:p>
  </w:footnote>
  <w:footnote w:type="continuationSeparator" w:id="0">
    <w:p w14:paraId="2F3D5DA0" w14:textId="77777777" w:rsidR="006153A5" w:rsidRDefault="006153A5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B10A" w14:textId="25413FA4" w:rsidR="00D17AE8" w:rsidRDefault="000A79CE" w:rsidP="00E428FF">
    <w:pPr>
      <w:pStyle w:val="Header"/>
    </w:pPr>
    <w:r>
      <w:ptab w:relativeTo="margin" w:alignment="right" w:leader="none"/>
    </w:r>
    <w:r w:rsidR="00D17AE8">
      <w:t xml:space="preserve"> E1</w:t>
    </w:r>
    <w:r w:rsidR="00EA0E74">
      <w:t>900</w:t>
    </w:r>
    <w:r w:rsidR="003C557C">
      <w:t>177</w:t>
    </w:r>
    <w:r w:rsidR="00D17AE8">
      <w:t>-v</w:t>
    </w:r>
    <w:r w:rsidR="00265B46">
      <w:t>2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3C557C">
      <w:rPr>
        <w:noProof/>
      </w:rPr>
      <w:t>1</w:t>
    </w:r>
    <w:r w:rsidR="00D17AE8">
      <w:rPr>
        <w:noProof/>
      </w:rPr>
      <w:fldChar w:fldCharType="end"/>
    </w:r>
  </w:p>
  <w:p w14:paraId="46119C5B" w14:textId="77777777"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2F269E"/>
    <w:multiLevelType w:val="hybridMultilevel"/>
    <w:tmpl w:val="46E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 w15:restartNumberingAfterBreak="0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B1EF8"/>
    <w:multiLevelType w:val="hybridMultilevel"/>
    <w:tmpl w:val="8098C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25"/>
  </w:num>
  <w:num w:numId="9">
    <w:abstractNumId w:val="7"/>
  </w:num>
  <w:num w:numId="10">
    <w:abstractNumId w:val="3"/>
  </w:num>
  <w:num w:numId="11">
    <w:abstractNumId w:val="11"/>
  </w:num>
  <w:num w:numId="12">
    <w:abstractNumId w:val="27"/>
  </w:num>
  <w:num w:numId="13">
    <w:abstractNumId w:val="8"/>
  </w:num>
  <w:num w:numId="14">
    <w:abstractNumId w:val="26"/>
  </w:num>
  <w:num w:numId="15">
    <w:abstractNumId w:val="18"/>
  </w:num>
  <w:num w:numId="16">
    <w:abstractNumId w:val="13"/>
  </w:num>
  <w:num w:numId="17">
    <w:abstractNumId w:val="29"/>
  </w:num>
  <w:num w:numId="18">
    <w:abstractNumId w:val="9"/>
  </w:num>
  <w:num w:numId="19">
    <w:abstractNumId w:val="30"/>
  </w:num>
  <w:num w:numId="20">
    <w:abstractNumId w:val="16"/>
  </w:num>
  <w:num w:numId="21">
    <w:abstractNumId w:val="1"/>
  </w:num>
  <w:num w:numId="22">
    <w:abstractNumId w:val="22"/>
  </w:num>
  <w:num w:numId="23">
    <w:abstractNumId w:val="20"/>
  </w:num>
  <w:num w:numId="24">
    <w:abstractNumId w:val="17"/>
  </w:num>
  <w:num w:numId="25">
    <w:abstractNumId w:val="0"/>
  </w:num>
  <w:num w:numId="26">
    <w:abstractNumId w:val="28"/>
  </w:num>
  <w:num w:numId="27">
    <w:abstractNumId w:val="15"/>
  </w:num>
  <w:num w:numId="28">
    <w:abstractNumId w:val="23"/>
  </w:num>
  <w:num w:numId="29">
    <w:abstractNumId w:val="12"/>
  </w:num>
  <w:num w:numId="30">
    <w:abstractNumId w:val="10"/>
  </w:num>
  <w:num w:numId="31">
    <w:abstractNumId w:val="2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CC"/>
    <w:rsid w:val="0001128D"/>
    <w:rsid w:val="00026FCC"/>
    <w:rsid w:val="00043FA5"/>
    <w:rsid w:val="00047BEC"/>
    <w:rsid w:val="0007725F"/>
    <w:rsid w:val="0008646A"/>
    <w:rsid w:val="000A5A70"/>
    <w:rsid w:val="000A79CE"/>
    <w:rsid w:val="000B0394"/>
    <w:rsid w:val="000B0F55"/>
    <w:rsid w:val="000D112F"/>
    <w:rsid w:val="000E483B"/>
    <w:rsid w:val="000F2F8D"/>
    <w:rsid w:val="00115057"/>
    <w:rsid w:val="001406B4"/>
    <w:rsid w:val="001725CC"/>
    <w:rsid w:val="001805D9"/>
    <w:rsid w:val="00195EBE"/>
    <w:rsid w:val="00197512"/>
    <w:rsid w:val="001A0E81"/>
    <w:rsid w:val="001A6894"/>
    <w:rsid w:val="001B50E8"/>
    <w:rsid w:val="001C1A88"/>
    <w:rsid w:val="001D35DF"/>
    <w:rsid w:val="001E03D2"/>
    <w:rsid w:val="002137D2"/>
    <w:rsid w:val="002271ED"/>
    <w:rsid w:val="00234CB5"/>
    <w:rsid w:val="002433CC"/>
    <w:rsid w:val="00265B46"/>
    <w:rsid w:val="00267104"/>
    <w:rsid w:val="00272BBB"/>
    <w:rsid w:val="00276FB8"/>
    <w:rsid w:val="00294C5F"/>
    <w:rsid w:val="00296579"/>
    <w:rsid w:val="002D04D1"/>
    <w:rsid w:val="002E5B25"/>
    <w:rsid w:val="002F4629"/>
    <w:rsid w:val="002F4A8F"/>
    <w:rsid w:val="002F4F04"/>
    <w:rsid w:val="0030086E"/>
    <w:rsid w:val="00303C28"/>
    <w:rsid w:val="00310C23"/>
    <w:rsid w:val="00313E04"/>
    <w:rsid w:val="0032052B"/>
    <w:rsid w:val="00322850"/>
    <w:rsid w:val="00327039"/>
    <w:rsid w:val="00343984"/>
    <w:rsid w:val="00345DFC"/>
    <w:rsid w:val="0035575B"/>
    <w:rsid w:val="003972BB"/>
    <w:rsid w:val="003B65CC"/>
    <w:rsid w:val="003C088B"/>
    <w:rsid w:val="003C557C"/>
    <w:rsid w:val="00433C90"/>
    <w:rsid w:val="00440746"/>
    <w:rsid w:val="004449B8"/>
    <w:rsid w:val="00496ACE"/>
    <w:rsid w:val="004975F7"/>
    <w:rsid w:val="004A51CB"/>
    <w:rsid w:val="004B12F5"/>
    <w:rsid w:val="004B6FE1"/>
    <w:rsid w:val="004C2833"/>
    <w:rsid w:val="004C37C6"/>
    <w:rsid w:val="004C6B3C"/>
    <w:rsid w:val="004F7269"/>
    <w:rsid w:val="00514367"/>
    <w:rsid w:val="00521636"/>
    <w:rsid w:val="005461F8"/>
    <w:rsid w:val="0057093F"/>
    <w:rsid w:val="00580848"/>
    <w:rsid w:val="00596F57"/>
    <w:rsid w:val="005B02E2"/>
    <w:rsid w:val="005B1973"/>
    <w:rsid w:val="005D1718"/>
    <w:rsid w:val="005E398A"/>
    <w:rsid w:val="005E51BF"/>
    <w:rsid w:val="005F206C"/>
    <w:rsid w:val="006153A5"/>
    <w:rsid w:val="00641283"/>
    <w:rsid w:val="00654839"/>
    <w:rsid w:val="00681DA0"/>
    <w:rsid w:val="00692E46"/>
    <w:rsid w:val="006934C2"/>
    <w:rsid w:val="0069356C"/>
    <w:rsid w:val="006A0E63"/>
    <w:rsid w:val="006A210E"/>
    <w:rsid w:val="006C01E5"/>
    <w:rsid w:val="006C58B2"/>
    <w:rsid w:val="006D1C92"/>
    <w:rsid w:val="006D5358"/>
    <w:rsid w:val="006E259C"/>
    <w:rsid w:val="006F2EA0"/>
    <w:rsid w:val="006F4C73"/>
    <w:rsid w:val="006F5FDC"/>
    <w:rsid w:val="00721C5D"/>
    <w:rsid w:val="007307C8"/>
    <w:rsid w:val="00733D66"/>
    <w:rsid w:val="00750F21"/>
    <w:rsid w:val="00791D4E"/>
    <w:rsid w:val="00796962"/>
    <w:rsid w:val="007A0565"/>
    <w:rsid w:val="007A5A58"/>
    <w:rsid w:val="007C6228"/>
    <w:rsid w:val="007D398D"/>
    <w:rsid w:val="007D7E8E"/>
    <w:rsid w:val="007E677E"/>
    <w:rsid w:val="00837E45"/>
    <w:rsid w:val="0084178B"/>
    <w:rsid w:val="008830D5"/>
    <w:rsid w:val="008C724F"/>
    <w:rsid w:val="008D392F"/>
    <w:rsid w:val="008D6B32"/>
    <w:rsid w:val="008E0A71"/>
    <w:rsid w:val="008F0AC3"/>
    <w:rsid w:val="009132F6"/>
    <w:rsid w:val="009562EC"/>
    <w:rsid w:val="00973E87"/>
    <w:rsid w:val="009855FD"/>
    <w:rsid w:val="009C241E"/>
    <w:rsid w:val="009C2DB6"/>
    <w:rsid w:val="009C75FC"/>
    <w:rsid w:val="00A11D1E"/>
    <w:rsid w:val="00A43740"/>
    <w:rsid w:val="00A55369"/>
    <w:rsid w:val="00A84AA7"/>
    <w:rsid w:val="00A85EA4"/>
    <w:rsid w:val="00A91386"/>
    <w:rsid w:val="00AB4935"/>
    <w:rsid w:val="00AD560B"/>
    <w:rsid w:val="00AE24DA"/>
    <w:rsid w:val="00B3164D"/>
    <w:rsid w:val="00B56A42"/>
    <w:rsid w:val="00B81019"/>
    <w:rsid w:val="00B81432"/>
    <w:rsid w:val="00B92D74"/>
    <w:rsid w:val="00BB127C"/>
    <w:rsid w:val="00BD3C2A"/>
    <w:rsid w:val="00C22B7B"/>
    <w:rsid w:val="00C34EAE"/>
    <w:rsid w:val="00C3607E"/>
    <w:rsid w:val="00C41F83"/>
    <w:rsid w:val="00C46103"/>
    <w:rsid w:val="00C6458B"/>
    <w:rsid w:val="00C76DE3"/>
    <w:rsid w:val="00C817FB"/>
    <w:rsid w:val="00C90C26"/>
    <w:rsid w:val="00CD79C7"/>
    <w:rsid w:val="00D11351"/>
    <w:rsid w:val="00D17A93"/>
    <w:rsid w:val="00D17AE8"/>
    <w:rsid w:val="00D254FA"/>
    <w:rsid w:val="00D2722A"/>
    <w:rsid w:val="00D34641"/>
    <w:rsid w:val="00D45F71"/>
    <w:rsid w:val="00D81388"/>
    <w:rsid w:val="00D83F87"/>
    <w:rsid w:val="00D86DCD"/>
    <w:rsid w:val="00DB2931"/>
    <w:rsid w:val="00DB4772"/>
    <w:rsid w:val="00DC5573"/>
    <w:rsid w:val="00DD3B18"/>
    <w:rsid w:val="00E0372F"/>
    <w:rsid w:val="00E32741"/>
    <w:rsid w:val="00E34B0D"/>
    <w:rsid w:val="00E428FF"/>
    <w:rsid w:val="00E51F5F"/>
    <w:rsid w:val="00E533E9"/>
    <w:rsid w:val="00E6656F"/>
    <w:rsid w:val="00E66E0C"/>
    <w:rsid w:val="00E72B18"/>
    <w:rsid w:val="00E8507A"/>
    <w:rsid w:val="00E96502"/>
    <w:rsid w:val="00EA0E74"/>
    <w:rsid w:val="00EC6F91"/>
    <w:rsid w:val="00ED1655"/>
    <w:rsid w:val="00F017AD"/>
    <w:rsid w:val="00F8062E"/>
    <w:rsid w:val="00F849AB"/>
    <w:rsid w:val="00FA5C49"/>
    <w:rsid w:val="00FD4411"/>
    <w:rsid w:val="00FE6AC8"/>
    <w:rsid w:val="00FF65DB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653AB"/>
  <w15:docId w15:val="{17F9C92E-3061-4FF0-B6EE-EC3E0582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7E677E"/>
    <w:pPr>
      <w:keepNext/>
      <w:spacing w:after="120"/>
      <w:ind w:firstLine="0"/>
      <w:jc w:val="center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1C5D"/>
    <w:pPr>
      <w:ind w:left="720"/>
      <w:contextualSpacing/>
    </w:pPr>
  </w:style>
  <w:style w:type="character" w:styleId="Hyperlink">
    <w:name w:val="Hyperlink"/>
    <w:basedOn w:val="DefaultParagraphFont"/>
    <w:unhideWhenUsed/>
    <w:rsid w:val="00D4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1A52EDBAF90458BAED06AD9B5835A" ma:contentTypeVersion="7" ma:contentTypeDescription="Create a new document." ma:contentTypeScope="" ma:versionID="8d5894b4d5d7f2555a4066a0b8a6e14c">
  <xsd:schema xmlns:xsd="http://www.w3.org/2001/XMLSchema" xmlns:xs="http://www.w3.org/2001/XMLSchema" xmlns:p="http://schemas.microsoft.com/office/2006/metadata/properties" xmlns:ns3="12785b64-6357-49ae-9409-49128930aaa6" xmlns:ns4="f13e6246-cd4f-4864-b192-e7c6c15d242f" targetNamespace="http://schemas.microsoft.com/office/2006/metadata/properties" ma:root="true" ma:fieldsID="6da19eece9460fd3baf9341b3156d241" ns3:_="" ns4:_="">
    <xsd:import namespace="12785b64-6357-49ae-9409-49128930aaa6"/>
    <xsd:import namespace="f13e6246-cd4f-4864-b192-e7c6c15d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5b64-6357-49ae-9409-4912893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e6246-cd4f-4864-b192-e7c6c15d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9940-9330-4A11-B265-4E86016D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5b64-6357-49ae-9409-49128930aaa6"/>
    <ds:schemaRef ds:uri="f13e6246-cd4f-4864-b192-e7c6c15d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29BA-2D93-4792-A27C-4F61E18CC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00765-5E31-4375-BBE4-FCDDB3706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Abbott, Richard</cp:lastModifiedBy>
  <cp:revision>23</cp:revision>
  <cp:lastPrinted>2019-06-05T00:22:00Z</cp:lastPrinted>
  <dcterms:created xsi:type="dcterms:W3CDTF">2020-05-13T17:23:00Z</dcterms:created>
  <dcterms:modified xsi:type="dcterms:W3CDTF">2020-05-13T19:31:00Z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0x010100D8B1A52EDBAF90458BAED06AD9B5835A</vt:lpwstr>
  </property>
</Properties>
</file>