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F650" w14:textId="79D69CCB" w:rsidR="0087517C" w:rsidRDefault="00E7545E" w:rsidP="0063053D">
      <w:r>
        <w:rPr>
          <w:noProof/>
        </w:rPr>
        <w:pict w14:anchorId="2382E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1in;width:111.6pt;height:81.5pt;z-index:251657216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8" o:title=""/>
            <v:shadow color="#cecece"/>
            <w10:wrap type="topAndBottom"/>
          </v:shape>
        </w:pict>
      </w:r>
    </w:p>
    <w:p w14:paraId="1B39161C" w14:textId="77777777" w:rsidR="0087517C" w:rsidRPr="00467EEC" w:rsidRDefault="0087517C" w:rsidP="002D1781">
      <w:pPr>
        <w:pStyle w:val="Header"/>
        <w:jc w:val="center"/>
        <w:rPr>
          <w:b/>
          <w:u w:val="single"/>
        </w:rPr>
      </w:pPr>
      <w:r w:rsidRPr="00467EEC">
        <w:rPr>
          <w:b/>
          <w:u w:val="single"/>
        </w:rPr>
        <w:t>MEMORANDUM</w:t>
      </w:r>
    </w:p>
    <w:p w14:paraId="7811E8BD" w14:textId="77777777" w:rsidR="0087517C" w:rsidRDefault="0087517C" w:rsidP="0063053D"/>
    <w:p w14:paraId="327FF8ED" w14:textId="4EFFF206" w:rsidR="0087517C" w:rsidRDefault="0087517C" w:rsidP="0063053D">
      <w:r>
        <w:t>DATE:</w:t>
      </w:r>
      <w:r>
        <w:tab/>
      </w:r>
      <w:r>
        <w:tab/>
      </w:r>
      <w:r w:rsidR="00263AB2">
        <w:t>16</w:t>
      </w:r>
      <w:r w:rsidR="002506D2">
        <w:t xml:space="preserve"> </w:t>
      </w:r>
      <w:proofErr w:type="gramStart"/>
      <w:r w:rsidR="009F4133">
        <w:t>Mar</w:t>
      </w:r>
      <w:r w:rsidR="002A3708">
        <w:t xml:space="preserve"> </w:t>
      </w:r>
      <w:r w:rsidR="009F4133">
        <w:t xml:space="preserve"> 2018</w:t>
      </w:r>
      <w:proofErr w:type="gramEnd"/>
    </w:p>
    <w:p w14:paraId="4BB003CD" w14:textId="77777777" w:rsidR="0087517C" w:rsidRDefault="0087517C" w:rsidP="0063053D"/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87517C" w14:paraId="3A37DA96" w14:textId="77777777">
        <w:tc>
          <w:tcPr>
            <w:tcW w:w="1377" w:type="dxa"/>
          </w:tcPr>
          <w:p w14:paraId="35F9431A" w14:textId="10E81F3A" w:rsidR="002A3708" w:rsidRDefault="0087517C" w:rsidP="0063053D">
            <w:pPr>
              <w:pStyle w:val="Header"/>
            </w:pPr>
            <w:r>
              <w:t>TO:</w:t>
            </w:r>
          </w:p>
          <w:p w14:paraId="3A8EBC92" w14:textId="369003C7" w:rsidR="002A3708" w:rsidRDefault="002A3708" w:rsidP="0063053D">
            <w:pPr>
              <w:pStyle w:val="Header"/>
            </w:pPr>
            <w:r>
              <w:t>CC:</w:t>
            </w:r>
          </w:p>
        </w:tc>
        <w:tc>
          <w:tcPr>
            <w:tcW w:w="8199" w:type="dxa"/>
          </w:tcPr>
          <w:p w14:paraId="7A4AD1FC" w14:textId="4AB05710" w:rsidR="00E16B5A" w:rsidRDefault="008D3132" w:rsidP="002A3708">
            <w:pPr>
              <w:pStyle w:val="Header"/>
            </w:pPr>
            <w:r>
              <w:t xml:space="preserve">Fred </w:t>
            </w:r>
            <w:proofErr w:type="spellStart"/>
            <w:r>
              <w:t>Raab</w:t>
            </w:r>
            <w:proofErr w:type="spellEnd"/>
          </w:p>
          <w:p w14:paraId="10E4F280" w14:textId="5F45F841" w:rsidR="002A3708" w:rsidRDefault="008D3132" w:rsidP="002A3708">
            <w:pPr>
              <w:pStyle w:val="Header"/>
            </w:pPr>
            <w:proofErr w:type="spellStart"/>
            <w:r>
              <w:t>Calum</w:t>
            </w:r>
            <w:proofErr w:type="spellEnd"/>
            <w:r>
              <w:t xml:space="preserve"> Torrie</w:t>
            </w:r>
          </w:p>
        </w:tc>
      </w:tr>
      <w:tr w:rsidR="0087517C" w14:paraId="6ACE9F05" w14:textId="77777777">
        <w:tc>
          <w:tcPr>
            <w:tcW w:w="1377" w:type="dxa"/>
          </w:tcPr>
          <w:p w14:paraId="0BC98E47" w14:textId="77777777" w:rsidR="0087517C" w:rsidRDefault="0087517C" w:rsidP="0063053D">
            <w:pPr>
              <w:pStyle w:val="Header"/>
            </w:pPr>
            <w:r>
              <w:t>FROM:</w:t>
            </w:r>
          </w:p>
        </w:tc>
        <w:tc>
          <w:tcPr>
            <w:tcW w:w="8199" w:type="dxa"/>
          </w:tcPr>
          <w:p w14:paraId="4E63EED7" w14:textId="5675D87A" w:rsidR="0087517C" w:rsidRDefault="007E1B9A" w:rsidP="0063053D">
            <w:pPr>
              <w:pStyle w:val="Header"/>
            </w:pPr>
            <w:r>
              <w:t>Dennis Coyne</w:t>
            </w:r>
          </w:p>
        </w:tc>
      </w:tr>
      <w:tr w:rsidR="0087517C" w14:paraId="22B73186" w14:textId="77777777" w:rsidTr="008108A4">
        <w:tc>
          <w:tcPr>
            <w:tcW w:w="1377" w:type="dxa"/>
          </w:tcPr>
          <w:p w14:paraId="13B778C2" w14:textId="77777777" w:rsidR="0087517C" w:rsidRDefault="0087517C" w:rsidP="0063053D">
            <w:pPr>
              <w:pStyle w:val="Header"/>
            </w:pPr>
            <w:r>
              <w:t>SUBJECT:</w:t>
            </w:r>
          </w:p>
        </w:tc>
        <w:tc>
          <w:tcPr>
            <w:tcW w:w="8199" w:type="dxa"/>
            <w:shd w:val="clear" w:color="auto" w:fill="DBE5F1" w:themeFill="accent1" w:themeFillTint="33"/>
          </w:tcPr>
          <w:p w14:paraId="00A05A5C" w14:textId="6E505368" w:rsidR="0087517C" w:rsidRPr="008108A4" w:rsidRDefault="008D3132" w:rsidP="008D3132">
            <w:pPr>
              <w:pStyle w:val="Header"/>
              <w:rPr>
                <w:b/>
              </w:rPr>
            </w:pPr>
            <w:r>
              <w:rPr>
                <w:b/>
              </w:rPr>
              <w:t>Vertex to end station chamber positioning requirement</w:t>
            </w:r>
          </w:p>
        </w:tc>
      </w:tr>
      <w:tr w:rsidR="0087517C" w14:paraId="051F094E" w14:textId="77777777">
        <w:tc>
          <w:tcPr>
            <w:tcW w:w="1377" w:type="dxa"/>
          </w:tcPr>
          <w:p w14:paraId="68F39AB3" w14:textId="77777777" w:rsidR="0087517C" w:rsidRDefault="0087517C" w:rsidP="0063053D">
            <w:pPr>
              <w:pStyle w:val="Header"/>
            </w:pPr>
            <w:r>
              <w:t>Refer to:</w:t>
            </w:r>
          </w:p>
        </w:tc>
        <w:tc>
          <w:tcPr>
            <w:tcW w:w="8199" w:type="dxa"/>
          </w:tcPr>
          <w:p w14:paraId="6482B322" w14:textId="12F0EFA9" w:rsidR="0087517C" w:rsidRDefault="0087517C" w:rsidP="002E484B">
            <w:pPr>
              <w:pStyle w:val="Header"/>
            </w:pPr>
            <w:r>
              <w:t>LIGO-</w:t>
            </w:r>
            <w:r w:rsidR="008D3132">
              <w:t>T18</w:t>
            </w:r>
            <w:r w:rsidR="002A3708">
              <w:t>00</w:t>
            </w:r>
            <w:r w:rsidR="00732E77">
              <w:t>103</w:t>
            </w:r>
            <w:r w:rsidR="008D3132">
              <w:t>-v1</w:t>
            </w:r>
          </w:p>
        </w:tc>
      </w:tr>
    </w:tbl>
    <w:p w14:paraId="72B91762" w14:textId="77777777" w:rsidR="00DE45E9" w:rsidRDefault="00DE45E9" w:rsidP="0063053D">
      <w:pPr>
        <w:pStyle w:val="Header"/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6494767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EF4D0A" w14:textId="36D4D25D" w:rsidR="008108A4" w:rsidRDefault="008108A4" w:rsidP="008108A4">
          <w:pPr>
            <w:pStyle w:val="TOCHeading"/>
            <w:shd w:val="clear" w:color="auto" w:fill="F2F2F2" w:themeFill="background1" w:themeFillShade="F2"/>
          </w:pPr>
          <w:r>
            <w:t>Contents</w:t>
          </w:r>
        </w:p>
        <w:p w14:paraId="2E351464" w14:textId="77777777" w:rsidR="003D7598" w:rsidRDefault="008108A4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60431" w:history="1">
            <w:r w:rsidR="003D7598" w:rsidRPr="0005368A">
              <w:rPr>
                <w:rStyle w:val="Hyperlink"/>
                <w:noProof/>
              </w:rPr>
              <w:t>1</w:t>
            </w:r>
            <w:r w:rsidR="003D75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7598" w:rsidRPr="0005368A">
              <w:rPr>
                <w:rStyle w:val="Hyperlink"/>
                <w:noProof/>
              </w:rPr>
              <w:t>Question</w:t>
            </w:r>
            <w:r w:rsidR="003D7598">
              <w:rPr>
                <w:noProof/>
                <w:webHidden/>
              </w:rPr>
              <w:tab/>
            </w:r>
            <w:r w:rsidR="003D7598">
              <w:rPr>
                <w:noProof/>
                <w:webHidden/>
              </w:rPr>
              <w:fldChar w:fldCharType="begin"/>
            </w:r>
            <w:r w:rsidR="003D7598">
              <w:rPr>
                <w:noProof/>
                <w:webHidden/>
              </w:rPr>
              <w:instrText xml:space="preserve"> PAGEREF _Toc508960431 \h </w:instrText>
            </w:r>
            <w:r w:rsidR="003D7598">
              <w:rPr>
                <w:noProof/>
                <w:webHidden/>
              </w:rPr>
            </w:r>
            <w:r w:rsidR="003D7598"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1</w:t>
            </w:r>
            <w:r w:rsidR="003D7598">
              <w:rPr>
                <w:noProof/>
                <w:webHidden/>
              </w:rPr>
              <w:fldChar w:fldCharType="end"/>
            </w:r>
          </w:hyperlink>
        </w:p>
        <w:p w14:paraId="455BFA53" w14:textId="77777777" w:rsidR="003D7598" w:rsidRDefault="003D759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2" w:history="1">
            <w:r w:rsidRPr="0005368A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Answer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F0C41" w14:textId="77777777" w:rsidR="003D7598" w:rsidRDefault="003D759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3" w:history="1">
            <w:r w:rsidRPr="0005368A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Background and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60C1B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4" w:history="1">
            <w:r w:rsidRPr="0005368A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LIGO’s basic approach to setting positional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B3044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5" w:history="1">
            <w:r w:rsidRPr="0005368A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Chamber placement accuracy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76CFB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6" w:history="1">
            <w:r w:rsidRPr="0005368A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Survey accuracy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CAF94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7" w:history="1">
            <w:r w:rsidRPr="0005368A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Optical measurement of the arm cavity length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884CD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8" w:history="1">
            <w:r w:rsidRPr="0005368A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Subsequent detector system implicit requirements?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B839D" w14:textId="77777777" w:rsidR="003D7598" w:rsidRDefault="003D75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960439" w:history="1">
            <w:r w:rsidRPr="0005368A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5368A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_Toc508960439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3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B5F83" w14:textId="06F9C3AF" w:rsidR="008108A4" w:rsidRDefault="008108A4" w:rsidP="008108A4">
          <w:pPr>
            <w:shd w:val="clear" w:color="auto" w:fill="F2F2F2" w:themeFill="background1" w:themeFillShade="F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74F3C02" w14:textId="77777777" w:rsidR="009D4D73" w:rsidRDefault="009D4D73" w:rsidP="0063053D">
      <w:pPr>
        <w:pStyle w:val="Header"/>
      </w:pPr>
      <w:bookmarkStart w:id="0" w:name="_GoBack"/>
      <w:bookmarkEnd w:id="0"/>
    </w:p>
    <w:p w14:paraId="170F48AD" w14:textId="32C995E4" w:rsidR="00306B96" w:rsidRDefault="008D3132" w:rsidP="0063053D">
      <w:pPr>
        <w:pStyle w:val="Heading1"/>
      </w:pPr>
      <w:bookmarkStart w:id="1" w:name="_Toc508960431"/>
      <w:r>
        <w:t>Question</w:t>
      </w:r>
      <w:bookmarkEnd w:id="1"/>
    </w:p>
    <w:p w14:paraId="27E3596F" w14:textId="77777777" w:rsidR="008D3132" w:rsidRDefault="008D3132" w:rsidP="008D3132">
      <w:r>
        <w:t>At a recent meeting at IUCAA regarding interfaces between the vacuum system and the civil construction, the following question was posed by the LIGO-India Chief Architect (Nagaraj):</w:t>
      </w:r>
    </w:p>
    <w:p w14:paraId="41FE2D9A" w14:textId="6C625D00" w:rsidR="008D3132" w:rsidRPr="008D3132" w:rsidRDefault="008D3132" w:rsidP="008D3132">
      <w:pPr>
        <w:ind w:left="720"/>
        <w:rPr>
          <w:i/>
        </w:rPr>
      </w:pPr>
      <w:r w:rsidRPr="008D3132">
        <w:rPr>
          <w:i/>
        </w:rPr>
        <w:t>What is the x and y tolerance on placement of the end station BSCs relative to the vertex?</w:t>
      </w:r>
    </w:p>
    <w:p w14:paraId="7C3386A8" w14:textId="77777777" w:rsidR="008D3132" w:rsidRDefault="008D3132" w:rsidP="008D3132"/>
    <w:p w14:paraId="10C8D057" w14:textId="67EBEB2F" w:rsidR="004C5841" w:rsidRDefault="004C5841" w:rsidP="008B108D">
      <w:pPr>
        <w:pStyle w:val="Heading1"/>
      </w:pPr>
      <w:bookmarkStart w:id="2" w:name="_Toc508960432"/>
      <w:r>
        <w:t>Answer</w:t>
      </w:r>
      <w:bookmarkEnd w:id="2"/>
    </w:p>
    <w:p w14:paraId="02ED6297" w14:textId="52C4F38D" w:rsidR="004C5841" w:rsidRDefault="00F62A9A" w:rsidP="004C5841">
      <w:r>
        <w:t>The center of each</w:t>
      </w:r>
      <w:r w:rsidR="00111A3C">
        <w:t xml:space="preserve"> end-station BSC chamber should be positioned, relative to the BT/VE interface monument, to within </w:t>
      </w:r>
      <w:r w:rsidR="00111A3C" w:rsidRPr="00111A3C">
        <w:t>± 2 mm in both transverse directions</w:t>
      </w:r>
      <w:r w:rsidR="00111A3C">
        <w:t xml:space="preserve"> (laterally and vertically)</w:t>
      </w:r>
      <w:r w:rsidR="00111A3C" w:rsidRPr="00111A3C">
        <w:t xml:space="preserve"> and</w:t>
      </w:r>
      <w:r w:rsidR="00111A3C">
        <w:t xml:space="preserve"> to within ± </w:t>
      </w:r>
      <w:r w:rsidR="00111A3C" w:rsidRPr="00111A3C">
        <w:t xml:space="preserve">5 mm of the design position in the axial </w:t>
      </w:r>
      <w:r w:rsidR="00111A3C">
        <w:t xml:space="preserve">(longitudinal) </w:t>
      </w:r>
      <w:r w:rsidR="00111A3C" w:rsidRPr="00111A3C">
        <w:t>direction.</w:t>
      </w:r>
    </w:p>
    <w:p w14:paraId="57F52D09" w14:textId="77777777" w:rsidR="00111A3C" w:rsidRDefault="00111A3C" w:rsidP="004C5841"/>
    <w:p w14:paraId="73CD8C68" w14:textId="25B7A043" w:rsidR="00111A3C" w:rsidRDefault="00111A3C" w:rsidP="004C5841">
      <w:r>
        <w:t xml:space="preserve">The </w:t>
      </w:r>
      <w:r w:rsidR="00F62A9A">
        <w:t xml:space="preserve">BT/VE interface monuments should be positioned by survey to within ± </w:t>
      </w:r>
      <w:r w:rsidR="00F62A9A" w:rsidRPr="00111A3C">
        <w:t xml:space="preserve">5 mm of the design position in the axial </w:t>
      </w:r>
      <w:r w:rsidR="00F62A9A">
        <w:t xml:space="preserve">(longitudinal) </w:t>
      </w:r>
      <w:r w:rsidR="00F62A9A" w:rsidRPr="00111A3C">
        <w:t>direction.</w:t>
      </w:r>
    </w:p>
    <w:p w14:paraId="108BF293" w14:textId="77777777" w:rsidR="00F62A9A" w:rsidRDefault="00F62A9A" w:rsidP="004C5841"/>
    <w:p w14:paraId="63E5A8C6" w14:textId="3DB1A941" w:rsidR="00F62A9A" w:rsidRDefault="00F62A9A" w:rsidP="004C5841">
      <w:r>
        <w:t>The resulting tolerance for the position of the center of the end station BSC chamber relative to the vertex is ± 10</w:t>
      </w:r>
      <w:r w:rsidRPr="00111A3C">
        <w:t xml:space="preserve"> mm</w:t>
      </w:r>
      <w:r>
        <w:t>.</w:t>
      </w:r>
    </w:p>
    <w:p w14:paraId="60AA49FC" w14:textId="77777777" w:rsidR="004C5841" w:rsidRPr="004C5841" w:rsidRDefault="004C5841" w:rsidP="004C5841"/>
    <w:p w14:paraId="71E57825" w14:textId="1132F816" w:rsidR="00C57788" w:rsidRDefault="00C57788" w:rsidP="008B108D">
      <w:pPr>
        <w:pStyle w:val="Heading1"/>
      </w:pPr>
      <w:bookmarkStart w:id="3" w:name="_Toc508960433"/>
      <w:r>
        <w:lastRenderedPageBreak/>
        <w:t>Background and references</w:t>
      </w:r>
      <w:bookmarkEnd w:id="3"/>
    </w:p>
    <w:p w14:paraId="0B3F29CB" w14:textId="1820A615" w:rsidR="00C57788" w:rsidRDefault="00C57788" w:rsidP="00C57788">
      <w:r>
        <w:t xml:space="preserve">Background notes and references supporting this answer are given in the following </w:t>
      </w:r>
      <w:r w:rsidR="007463BF">
        <w:t>sub</w:t>
      </w:r>
      <w:r>
        <w:t>sections.</w:t>
      </w:r>
    </w:p>
    <w:p w14:paraId="6B642554" w14:textId="77777777" w:rsidR="00C57788" w:rsidRPr="00C57788" w:rsidRDefault="00C57788" w:rsidP="00C57788"/>
    <w:p w14:paraId="2912D1DF" w14:textId="38D9082E" w:rsidR="008B108D" w:rsidRPr="00C71FAE" w:rsidRDefault="008B108D" w:rsidP="00C71FAE">
      <w:pPr>
        <w:pStyle w:val="Heading2"/>
      </w:pPr>
      <w:bookmarkStart w:id="4" w:name="_Toc508960434"/>
      <w:r w:rsidRPr="00C71FAE">
        <w:t>LIGO’s basic approach to setting positional requirements</w:t>
      </w:r>
      <w:bookmarkEnd w:id="4"/>
    </w:p>
    <w:p w14:paraId="6BEC4115" w14:textId="379024A2" w:rsidR="008D3132" w:rsidRDefault="008D3132" w:rsidP="008D3132">
      <w:r>
        <w:t>The LIGO project defined survey monument</w:t>
      </w:r>
      <w:r w:rsidR="003B26B7">
        <w:t>s (brass plugs set in concrete) at the interface between the V</w:t>
      </w:r>
      <w:r>
        <w:t xml:space="preserve">acuum </w:t>
      </w:r>
      <w:r w:rsidR="003B26B7">
        <w:t>Equipment (VE)</w:t>
      </w:r>
      <w:r>
        <w:t xml:space="preserve"> and </w:t>
      </w:r>
      <w:r w:rsidR="003B26B7">
        <w:t xml:space="preserve">the Beam Tube (BT), known as </w:t>
      </w:r>
      <w:r w:rsidR="002C5F95">
        <w:t>BT/VE</w:t>
      </w:r>
      <w:r w:rsidR="003B26B7">
        <w:t xml:space="preserve"> monuments. The locations of these interface monuments</w:t>
      </w:r>
      <w:r w:rsidR="002C5F95">
        <w:t xml:space="preserve"> </w:t>
      </w:r>
      <w:r w:rsidR="003B26B7">
        <w:t>were surveyed by third part</w:t>
      </w:r>
      <w:r w:rsidR="009248AB">
        <w:t>y</w:t>
      </w:r>
      <w:r w:rsidR="003B26B7">
        <w:t xml:space="preserve"> surveying companies. Positional requirements for the VE contractor and the BT contractor were then set relative to these interface monuments.</w:t>
      </w:r>
      <w:r w:rsidR="008B108D">
        <w:t xml:space="preserve"> By this method the positional tolerances of the BT and VE are not additive.</w:t>
      </w:r>
    </w:p>
    <w:p w14:paraId="7CE86CC5" w14:textId="77777777" w:rsidR="003B26B7" w:rsidRDefault="003B26B7" w:rsidP="008D3132"/>
    <w:p w14:paraId="5E3C176F" w14:textId="58AD3A55" w:rsidR="003B26B7" w:rsidRDefault="003B26B7" w:rsidP="003B26B7">
      <w:r>
        <w:t>The original, fundamental alignment/tolerance specification for the</w:t>
      </w:r>
      <w:r w:rsidR="009B3AAC">
        <w:t xml:space="preserve"> vacuum chambers</w:t>
      </w:r>
      <w:r w:rsidR="008B108D">
        <w:t xml:space="preserve"> (part of VE)</w:t>
      </w:r>
      <w:r w:rsidR="009B3AAC">
        <w:t xml:space="preserve"> i</w:t>
      </w:r>
      <w:r>
        <w:t>s defi</w:t>
      </w:r>
      <w:r w:rsidR="009B3AAC">
        <w:t xml:space="preserve">ned in section 5.1.4 of </w:t>
      </w:r>
      <w:hyperlink r:id="rId9" w:history="1">
        <w:r w:rsidR="009B3AAC" w:rsidRPr="009A3384">
          <w:rPr>
            <w:rStyle w:val="Hyperlink"/>
          </w:rPr>
          <w:t>E940002</w:t>
        </w:r>
      </w:hyperlink>
      <w:r>
        <w:t>-x0:</w:t>
      </w:r>
    </w:p>
    <w:p w14:paraId="085D708F" w14:textId="49454530" w:rsidR="003B26B7" w:rsidRPr="009B3AAC" w:rsidRDefault="003B26B7" w:rsidP="009B3AAC">
      <w:pPr>
        <w:ind w:left="720"/>
        <w:rPr>
          <w:i/>
        </w:rPr>
      </w:pPr>
      <w:r w:rsidRPr="009B3AAC">
        <w:rPr>
          <w:i/>
        </w:rPr>
        <w:t xml:space="preserve">All chambers shall be aligned to within </w:t>
      </w:r>
      <w:r w:rsidR="004C5841">
        <w:t>±</w:t>
      </w:r>
      <w:r w:rsidRPr="009B3AAC">
        <w:rPr>
          <w:i/>
        </w:rPr>
        <w:t xml:space="preserve"> 2 mm in both</w:t>
      </w:r>
      <w:r w:rsidR="009B3AAC" w:rsidRPr="009B3AAC">
        <w:rPr>
          <w:i/>
        </w:rPr>
        <w:t xml:space="preserve"> </w:t>
      </w:r>
      <w:r w:rsidRPr="009B3AAC">
        <w:rPr>
          <w:i/>
        </w:rPr>
        <w:t xml:space="preserve">transverse directions and </w:t>
      </w:r>
      <w:r w:rsidR="004C5841">
        <w:t>±</w:t>
      </w:r>
      <w:r w:rsidRPr="009B3AAC">
        <w:rPr>
          <w:i/>
        </w:rPr>
        <w:t xml:space="preserve"> 25 mm of the design position in the</w:t>
      </w:r>
      <w:r w:rsidR="009B3AAC" w:rsidRPr="009B3AAC">
        <w:rPr>
          <w:i/>
        </w:rPr>
        <w:t xml:space="preserve"> a</w:t>
      </w:r>
      <w:r w:rsidRPr="009B3AAC">
        <w:rPr>
          <w:i/>
        </w:rPr>
        <w:t xml:space="preserve">xial direction. All other vacuum chamber </w:t>
      </w:r>
      <w:proofErr w:type="gramStart"/>
      <w:r w:rsidRPr="009B3AAC">
        <w:rPr>
          <w:i/>
        </w:rPr>
        <w:t>and</w:t>
      </w:r>
      <w:proofErr w:type="gramEnd"/>
      <w:r w:rsidRPr="009B3AAC">
        <w:rPr>
          <w:i/>
        </w:rPr>
        <w:t xml:space="preserve"> spool dimensions shall</w:t>
      </w:r>
      <w:r w:rsidR="009B3AAC" w:rsidRPr="009B3AAC">
        <w:rPr>
          <w:i/>
        </w:rPr>
        <w:t xml:space="preserve"> </w:t>
      </w:r>
      <w:r w:rsidRPr="009B3AAC">
        <w:rPr>
          <w:i/>
        </w:rPr>
        <w:t xml:space="preserve">be </w:t>
      </w:r>
      <w:r w:rsidR="004C5841">
        <w:t>±</w:t>
      </w:r>
      <w:r w:rsidRPr="009B3AAC">
        <w:rPr>
          <w:i/>
        </w:rPr>
        <w:t xml:space="preserve"> 3mm, </w:t>
      </w:r>
      <w:r w:rsidR="004C5841">
        <w:t>±</w:t>
      </w:r>
      <w:r w:rsidRPr="009B3AAC">
        <w:rPr>
          <w:i/>
        </w:rPr>
        <w:t xml:space="preserve"> 1 degree and </w:t>
      </w:r>
      <w:r w:rsidR="004C5841">
        <w:t>±</w:t>
      </w:r>
      <w:r w:rsidR="009B3AAC" w:rsidRPr="009B3AAC">
        <w:rPr>
          <w:i/>
        </w:rPr>
        <w:t xml:space="preserve"> 3 mm per 3 m section of tube.</w:t>
      </w:r>
    </w:p>
    <w:p w14:paraId="03B3D028" w14:textId="77777777" w:rsidR="003B26B7" w:rsidRDefault="003B26B7" w:rsidP="003B26B7"/>
    <w:p w14:paraId="2AD6D66A" w14:textId="0CD742DC" w:rsidR="003B26B7" w:rsidRDefault="003B26B7" w:rsidP="003B26B7">
      <w:r>
        <w:t>(These requirements are repeated in PSI document V049-2-095, "Design</w:t>
      </w:r>
      <w:r w:rsidR="008A1EFB">
        <w:t xml:space="preserve"> </w:t>
      </w:r>
      <w:r>
        <w:t>Goals/Requirements Procedure", Spec. Reference 5.1.4. This document can</w:t>
      </w:r>
      <w:r w:rsidR="008A1EFB">
        <w:t xml:space="preserve"> be found within </w:t>
      </w:r>
      <w:hyperlink r:id="rId10" w:history="1">
        <w:r w:rsidR="008A1EFB" w:rsidRPr="009A3384">
          <w:rPr>
            <w:rStyle w:val="Hyperlink"/>
          </w:rPr>
          <w:t>C960965</w:t>
        </w:r>
      </w:hyperlink>
      <w:r>
        <w:t>-x0,</w:t>
      </w:r>
      <w:r w:rsidR="008A1EFB">
        <w:t xml:space="preserve"> </w:t>
      </w:r>
      <w:r>
        <w:t>file C960965-01-V.pdf, pg. 49 of 522)</w:t>
      </w:r>
      <w:r w:rsidR="008B108D">
        <w:t>. These chamber positional requirements are relative to the interface survey monuments.</w:t>
      </w:r>
    </w:p>
    <w:p w14:paraId="0EEC7182" w14:textId="77777777" w:rsidR="003B26B7" w:rsidRDefault="003B26B7" w:rsidP="003B26B7"/>
    <w:p w14:paraId="6C113CE6" w14:textId="56FC99D0" w:rsidR="009248AB" w:rsidRPr="008D3132" w:rsidRDefault="009248AB" w:rsidP="009248AB">
      <w:r>
        <w:t xml:space="preserve">The basic procedure for pre-alignment/positioning of the chambers using a dolly, for the purpose of establishing the location of drill holes for embedded bolts, and then final alignment with the dolly is described in sections 2.4 and 7.2 of </w:t>
      </w:r>
      <w:hyperlink r:id="rId11" w:history="1">
        <w:r w:rsidRPr="009A3384">
          <w:rPr>
            <w:rStyle w:val="Hyperlink"/>
          </w:rPr>
          <w:t>C960967</w:t>
        </w:r>
      </w:hyperlink>
      <w:r>
        <w:t>-x0, revision-03, "LIGO Vacuum Equipment, Final Design Report - Installation/Commissioning, Volume IV"</w:t>
      </w:r>
    </w:p>
    <w:p w14:paraId="6C5A2363" w14:textId="77777777" w:rsidR="009248AB" w:rsidRDefault="009248AB" w:rsidP="003B26B7"/>
    <w:p w14:paraId="22C4FE2D" w14:textId="7A57D98A" w:rsidR="00063F14" w:rsidRDefault="00063F14" w:rsidP="00C71FAE">
      <w:pPr>
        <w:pStyle w:val="Heading2"/>
      </w:pPr>
      <w:bookmarkStart w:id="5" w:name="_Toc508960435"/>
      <w:r>
        <w:t>Chamber placement accuracy</w:t>
      </w:r>
      <w:bookmarkEnd w:id="5"/>
    </w:p>
    <w:p w14:paraId="5B078DAE" w14:textId="428AAE0B" w:rsidR="00063F14" w:rsidRDefault="003B26B7" w:rsidP="00D711B6">
      <w:r>
        <w:t xml:space="preserve">The as-built, actual </w:t>
      </w:r>
      <w:r w:rsidR="009248AB">
        <w:t xml:space="preserve">chamber </w:t>
      </w:r>
      <w:r>
        <w:t>positioning accuracy</w:t>
      </w:r>
      <w:r w:rsidR="009248AB">
        <w:t>, relative to the BT</w:t>
      </w:r>
      <w:r w:rsidR="002C5F95">
        <w:t>/</w:t>
      </w:r>
      <w:r w:rsidR="009248AB">
        <w:t>VE monuments,</w:t>
      </w:r>
      <w:r w:rsidR="00063F14">
        <w:t xml:space="preserve"> </w:t>
      </w:r>
      <w:r w:rsidR="00D711B6">
        <w:t>is typically</w:t>
      </w:r>
      <w:r w:rsidR="00D711B6">
        <w:rPr>
          <w:rStyle w:val="FootnoteReference"/>
        </w:rPr>
        <w:footnoteReference w:id="1"/>
      </w:r>
      <w:r w:rsidR="00D711B6">
        <w:t xml:space="preserve"> &lt; </w:t>
      </w:r>
      <w:r w:rsidR="00063F14">
        <w:t xml:space="preserve">2 mm </w:t>
      </w:r>
      <w:r w:rsidR="00D711B6">
        <w:t xml:space="preserve">longitudinally. </w:t>
      </w:r>
    </w:p>
    <w:p w14:paraId="54C682A7" w14:textId="77777777" w:rsidR="003B26B7" w:rsidRDefault="003B26B7" w:rsidP="003B26B7"/>
    <w:p w14:paraId="6CA4A721" w14:textId="49B4D846" w:rsidR="009248AB" w:rsidRDefault="009248AB" w:rsidP="00C71FAE">
      <w:pPr>
        <w:pStyle w:val="Heading2"/>
      </w:pPr>
      <w:bookmarkStart w:id="6" w:name="_Toc508960436"/>
      <w:r>
        <w:t>Survey accuracy</w:t>
      </w:r>
      <w:bookmarkEnd w:id="6"/>
    </w:p>
    <w:p w14:paraId="23C653DA" w14:textId="28F122AF" w:rsidR="005668FB" w:rsidRDefault="00E4414F" w:rsidP="005668FB">
      <w:r>
        <w:t xml:space="preserve">In order to state the positional accuracy of the end station chamber relative to the vertex, we need to know the accuracy of the surveyed interface monuments. </w:t>
      </w:r>
      <w:r w:rsidR="005668FB">
        <w:t xml:space="preserve">The survey requirements are defined in </w:t>
      </w:r>
      <w:hyperlink r:id="rId12" w:history="1">
        <w:r w:rsidR="005668FB" w:rsidRPr="005668FB">
          <w:rPr>
            <w:rStyle w:val="Hyperlink"/>
          </w:rPr>
          <w:t>D961249</w:t>
        </w:r>
      </w:hyperlink>
      <w:r w:rsidR="005668FB">
        <w:t>-x0. The distance from the vertex to a marker/monument at the location of the center of the end station BSC chamber is required to be 4km ± 5 mm. The requirement for the distance from the vertex to the BT/VE interface at the end station is 3,988,500 ± 5 mm.</w:t>
      </w:r>
    </w:p>
    <w:p w14:paraId="2AD52CA2" w14:textId="77777777" w:rsidR="005668FB" w:rsidRDefault="005668FB" w:rsidP="005668FB"/>
    <w:p w14:paraId="2DF453A2" w14:textId="3D303331" w:rsidR="005668FB" w:rsidRDefault="005668FB" w:rsidP="005668FB">
      <w:r>
        <w:t xml:space="preserve">The survey results for the LHO BT/VE interface monuments is given in document </w:t>
      </w:r>
      <w:hyperlink r:id="rId13" w:history="1">
        <w:r w:rsidRPr="00F05A7F">
          <w:rPr>
            <w:rStyle w:val="Hyperlink"/>
          </w:rPr>
          <w:t>D961471</w:t>
        </w:r>
      </w:hyperlink>
      <w:r>
        <w:t xml:space="preserve">-x0. The distance from the vertex to the BT/VE interface monument is </w:t>
      </w:r>
      <w:r w:rsidR="0079777C">
        <w:t>found to be correct to within ~ ± 3 mm.</w:t>
      </w:r>
    </w:p>
    <w:p w14:paraId="1C886651" w14:textId="77777777" w:rsidR="00E40E30" w:rsidRDefault="00E40E30" w:rsidP="005668FB"/>
    <w:p w14:paraId="5861F7F3" w14:textId="77777777" w:rsidR="00E40E30" w:rsidRDefault="00E40E30" w:rsidP="00E40E30">
      <w:r>
        <w:t xml:space="preserve">An analysis of the survey results is given in </w:t>
      </w:r>
      <w:hyperlink r:id="rId14" w:history="1">
        <w:r w:rsidRPr="00E4414F">
          <w:rPr>
            <w:rStyle w:val="Hyperlink"/>
          </w:rPr>
          <w:t>T980044</w:t>
        </w:r>
      </w:hyperlink>
      <w:r>
        <w:t>-v1. However in this analysis of a best fit to the BT supports, the BT/VE axial locations were taken at their theoretical valves, with the exception of the nearest ones to the vertex (which were found to be ~3mm in error).</w:t>
      </w:r>
    </w:p>
    <w:p w14:paraId="73CEDD4A" w14:textId="77777777" w:rsidR="009248AB" w:rsidRDefault="009248AB" w:rsidP="009248AB"/>
    <w:p w14:paraId="41720B68" w14:textId="742CD77F" w:rsidR="00E40E30" w:rsidRDefault="00E40E30" w:rsidP="00C71FAE">
      <w:pPr>
        <w:pStyle w:val="Heading2"/>
      </w:pPr>
      <w:bookmarkStart w:id="7" w:name="_Toc508960437"/>
      <w:r>
        <w:t>Optical measurement of the arm cavity length</w:t>
      </w:r>
      <w:bookmarkEnd w:id="7"/>
    </w:p>
    <w:p w14:paraId="4F2C5E5C" w14:textId="2628D65A" w:rsidR="00E40E30" w:rsidRDefault="00E40E30" w:rsidP="00E40E30">
      <w:r>
        <w:t xml:space="preserve">A two “color” (frequency) approach was used to measure the length of the </w:t>
      </w:r>
      <w:proofErr w:type="spellStart"/>
      <w:r>
        <w:t>Fabry</w:t>
      </w:r>
      <w:proofErr w:type="spellEnd"/>
      <w:r>
        <w:t>-Perot X-arm length in Initial LIGO (</w:t>
      </w:r>
      <w:proofErr w:type="spellStart"/>
      <w:r>
        <w:t>iLIGO</w:t>
      </w:r>
      <w:proofErr w:type="spellEnd"/>
      <w:r>
        <w:t xml:space="preserve">). </w:t>
      </w:r>
      <w:r w:rsidR="00A77DE6">
        <w:t xml:space="preserve">The intended X and Y </w:t>
      </w:r>
      <w:proofErr w:type="spellStart"/>
      <w:r w:rsidR="00A77DE6">
        <w:t>Fabry</w:t>
      </w:r>
      <w:proofErr w:type="spellEnd"/>
      <w:r w:rsidR="00A77DE6">
        <w:t>-Perot arm cavity length</w:t>
      </w:r>
      <w:r w:rsidR="0079777C">
        <w:t xml:space="preserve">s for </w:t>
      </w:r>
      <w:proofErr w:type="spellStart"/>
      <w:r w:rsidR="0079777C">
        <w:t>iLIGO</w:t>
      </w:r>
      <w:proofErr w:type="spellEnd"/>
      <w:r w:rsidR="0079777C">
        <w:t xml:space="preserve"> (</w:t>
      </w:r>
      <w:hyperlink r:id="rId15" w:history="1">
        <w:r w:rsidR="0079777C" w:rsidRPr="0079777C">
          <w:rPr>
            <w:rStyle w:val="Hyperlink"/>
          </w:rPr>
          <w:t>E000053</w:t>
        </w:r>
      </w:hyperlink>
      <w:r w:rsidR="0079777C">
        <w:t>-x0) were</w:t>
      </w:r>
      <w:r w:rsidR="00A77DE6">
        <w:t xml:space="preserve"> 3,995,055 mm. The actual lengths</w:t>
      </w:r>
      <w:r w:rsidR="00A77DE6">
        <w:rPr>
          <w:rStyle w:val="FootnoteReference"/>
        </w:rPr>
        <w:footnoteReference w:id="2"/>
      </w:r>
      <w:r w:rsidR="00A77DE6">
        <w:t xml:space="preserve"> were {X, Y} = {3,995,084.18, 3,995,044.37} mm. The X-arm was 29 mm long</w:t>
      </w:r>
      <w:r w:rsidR="000C055F">
        <w:t>,</w:t>
      </w:r>
      <w:r w:rsidR="00A77DE6">
        <w:t xml:space="preserve"> and the Y-arm was 11 mm short</w:t>
      </w:r>
      <w:r w:rsidR="000C055F">
        <w:t>, of their intended lengths</w:t>
      </w:r>
      <w:r w:rsidR="00A77DE6">
        <w:t>.</w:t>
      </w:r>
      <w:r w:rsidR="00584813">
        <w:t xml:space="preserve"> These errors include the placement of the detector equipment (not just the vacuum equipment).</w:t>
      </w:r>
    </w:p>
    <w:p w14:paraId="77540870" w14:textId="77777777" w:rsidR="00E40E30" w:rsidRPr="00E40E30" w:rsidRDefault="00E40E30" w:rsidP="00E40E30"/>
    <w:p w14:paraId="620C445C" w14:textId="4510E96D" w:rsidR="009248AB" w:rsidRPr="009248AB" w:rsidRDefault="009248AB" w:rsidP="00C71FAE">
      <w:pPr>
        <w:pStyle w:val="Heading2"/>
      </w:pPr>
      <w:bookmarkStart w:id="8" w:name="_Toc508960438"/>
      <w:r>
        <w:t>Subsequent detector system implicit requirements?</w:t>
      </w:r>
      <w:bookmarkEnd w:id="8"/>
    </w:p>
    <w:p w14:paraId="09E1DF9B" w14:textId="0650E549" w:rsidR="0002413A" w:rsidRDefault="00BF74A5" w:rsidP="003B26B7">
      <w:r>
        <w:t>Since the Advanced LIGO (</w:t>
      </w:r>
      <w:proofErr w:type="spellStart"/>
      <w:r>
        <w:t>aLIGO</w:t>
      </w:r>
      <w:proofErr w:type="spellEnd"/>
      <w:r>
        <w:t xml:space="preserve">) detector system was designed and built after the vacuum system and facilities/buildings, </w:t>
      </w:r>
      <w:r w:rsidR="0002413A">
        <w:t xml:space="preserve">it is reasonable to consider whether the </w:t>
      </w:r>
      <w:proofErr w:type="spellStart"/>
      <w:r w:rsidR="0002413A">
        <w:t>aLIGO</w:t>
      </w:r>
      <w:proofErr w:type="spellEnd"/>
      <w:r w:rsidR="0002413A">
        <w:t xml:space="preserve"> detector system:</w:t>
      </w:r>
    </w:p>
    <w:p w14:paraId="154422EC" w14:textId="6878C5A2" w:rsidR="0002413A" w:rsidRDefault="003B26B7" w:rsidP="0002413A">
      <w:pPr>
        <w:pStyle w:val="ListParagraph"/>
        <w:numPr>
          <w:ilvl w:val="0"/>
          <w:numId w:val="43"/>
        </w:numPr>
      </w:pPr>
      <w:r>
        <w:t>relied upon the actual chamber</w:t>
      </w:r>
      <w:r w:rsidR="004F622E">
        <w:t xml:space="preserve"> </w:t>
      </w:r>
      <w:r>
        <w:t>positions rather than the theoretical positions</w:t>
      </w:r>
      <w:r w:rsidR="0002413A">
        <w:t>, or</w:t>
      </w:r>
    </w:p>
    <w:p w14:paraId="6D1DE240" w14:textId="79131B14" w:rsidR="003B26B7" w:rsidRDefault="0002413A" w:rsidP="0002413A">
      <w:pPr>
        <w:pStyle w:val="ListParagraph"/>
        <w:numPr>
          <w:ilvl w:val="0"/>
          <w:numId w:val="43"/>
        </w:numPr>
      </w:pPr>
      <w:proofErr w:type="gramStart"/>
      <w:r>
        <w:t>is</w:t>
      </w:r>
      <w:proofErr w:type="gramEnd"/>
      <w:r w:rsidR="003B26B7">
        <w:t xml:space="preserve"> </w:t>
      </w:r>
      <w:r w:rsidR="00FC3A36">
        <w:t xml:space="preserve">not </w:t>
      </w:r>
      <w:r w:rsidR="003B26B7">
        <w:t>capable of accommodating the positional tolerances of the</w:t>
      </w:r>
      <w:r w:rsidR="004F622E">
        <w:t xml:space="preserve"> </w:t>
      </w:r>
      <w:r w:rsidR="003B26B7">
        <w:t>original specification.</w:t>
      </w:r>
      <w:r w:rsidR="00BF74A5">
        <w:t xml:space="preserve"> </w:t>
      </w:r>
    </w:p>
    <w:p w14:paraId="6D02DA28" w14:textId="4262A0F7" w:rsidR="00FC3A36" w:rsidRDefault="00FC3A36" w:rsidP="00FC3A36">
      <w:r>
        <w:t xml:space="preserve">Regarding a), the detector design is </w:t>
      </w:r>
      <w:r w:rsidRPr="00FC3A36">
        <w:rPr>
          <w:u w:val="single"/>
        </w:rPr>
        <w:t>not</w:t>
      </w:r>
      <w:r>
        <w:t xml:space="preserve"> biased to take into account known positional errors of the vacuum equipment.</w:t>
      </w:r>
    </w:p>
    <w:p w14:paraId="5CC607D5" w14:textId="77777777" w:rsidR="00FC3A36" w:rsidRDefault="00FC3A36" w:rsidP="00FC3A36"/>
    <w:p w14:paraId="342769FF" w14:textId="5CEAD20D" w:rsidR="00FC3A36" w:rsidRDefault="00012D78" w:rsidP="00FC3A36">
      <w:r>
        <w:t>Regarding b), t</w:t>
      </w:r>
      <w:r w:rsidR="00FC3A36">
        <w:t xml:space="preserve">he mechanical assembly can accommodate </w:t>
      </w:r>
      <w:r w:rsidR="00C21460">
        <w:t>easily 30mm (or more)</w:t>
      </w:r>
      <w:r w:rsidR="00FC3A36">
        <w:t xml:space="preserve"> axial shift in the position of the End Test Mass</w:t>
      </w:r>
      <w:r w:rsidR="00C21460">
        <w:t>es</w:t>
      </w:r>
      <w:r w:rsidR="00FC3A36">
        <w:t xml:space="preserve"> (ETM) </w:t>
      </w:r>
      <w:r w:rsidR="00C21460">
        <w:t>and their</w:t>
      </w:r>
      <w:r w:rsidR="00FC3A36">
        <w:t xml:space="preserve"> associated suspension ass</w:t>
      </w:r>
      <w:r w:rsidR="00C21460">
        <w:t xml:space="preserve">emblies (as shown in </w:t>
      </w:r>
      <w:hyperlink r:id="rId16" w:history="1">
        <w:r w:rsidR="00C21460" w:rsidRPr="00C21460">
          <w:rPr>
            <w:rStyle w:val="Hyperlink"/>
          </w:rPr>
          <w:t>E1200345</w:t>
        </w:r>
      </w:hyperlink>
      <w:r w:rsidR="00C21460">
        <w:t>)</w:t>
      </w:r>
      <w:r w:rsidR="00FC3A36">
        <w:t>.</w:t>
      </w:r>
    </w:p>
    <w:p w14:paraId="50D4BB5A" w14:textId="77777777" w:rsidR="00FC3A36" w:rsidRDefault="00FC3A36" w:rsidP="00FC3A36"/>
    <w:p w14:paraId="28D24081" w14:textId="61E4E4C3" w:rsidR="0002413A" w:rsidRDefault="004B621D" w:rsidP="00E7545E">
      <w:r>
        <w:t>However</w:t>
      </w:r>
      <w:r w:rsidR="00D974B1">
        <w:t xml:space="preserve"> </w:t>
      </w:r>
      <w:r w:rsidR="00012D78">
        <w:t>the RF frequencies employed by the interferometer sensing and control system</w:t>
      </w:r>
      <w:r w:rsidR="00E671A0">
        <w:t xml:space="preserve"> set limits on the allowable arm cavity length range</w:t>
      </w:r>
      <w:r w:rsidR="00012D78">
        <w:t xml:space="preserve">. </w:t>
      </w:r>
      <w:r w:rsidR="00E7545E">
        <w:t>The modulation frequencies and arm length were picked (</w:t>
      </w:r>
      <w:hyperlink r:id="rId17" w:history="1">
        <w:r w:rsidR="00E7545E" w:rsidRPr="00E7545E">
          <w:rPr>
            <w:rStyle w:val="Hyperlink"/>
          </w:rPr>
          <w:t>T1000298</w:t>
        </w:r>
      </w:hyperlink>
      <w:r w:rsidR="00E7545E">
        <w:t xml:space="preserve">) </w:t>
      </w:r>
      <w:r w:rsidR="00C71FAE">
        <w:t xml:space="preserve">for </w:t>
      </w:r>
      <w:proofErr w:type="spellStart"/>
      <w:r w:rsidR="00C71FAE">
        <w:t>aLIGO</w:t>
      </w:r>
      <w:proofErr w:type="spellEnd"/>
      <w:r w:rsidR="00C71FAE">
        <w:t xml:space="preserve"> </w:t>
      </w:r>
      <w:r w:rsidR="00E7545E">
        <w:t>such that the f1 sideband</w:t>
      </w:r>
      <w:r w:rsidR="00E671A0">
        <w:t xml:space="preserve"> (9 MHz)</w:t>
      </w:r>
      <w:r w:rsidR="00E7545E">
        <w:t xml:space="preserve"> is 500 Hz away from exactly anti-resonant in the arms, and thus the f2 sideband</w:t>
      </w:r>
      <w:r w:rsidR="00E671A0">
        <w:t xml:space="preserve"> (45 MHz)</w:t>
      </w:r>
      <w:r w:rsidR="00E7545E">
        <w:t xml:space="preserve"> is 2500 Hz away from anti-resonant. This guarantees that the f2 sideband is far (about 16 kHz) away from resonance, which minimizes the arm-cavity phase shift the f2 sideband sees. </w:t>
      </w:r>
      <w:r w:rsidR="00C71FAE">
        <w:t xml:space="preserve">A tolerance in arm cavity length of </w:t>
      </w:r>
      <w:r w:rsidR="00C71FAE">
        <w:t xml:space="preserve">± </w:t>
      </w:r>
      <w:r w:rsidR="00C71FAE">
        <w:t>30 mm results in f1 being either 433 Hz or 567 Hz from exact anti-resonance, for +30 and -30 mm shifts respectively. The f2 sideband is 16,603 Hz and 15,920 Hz from resonance</w:t>
      </w:r>
      <w:r w:rsidR="00C71FAE">
        <w:t>, for +30 and -30 mm shifts respectively.</w:t>
      </w:r>
      <w:r w:rsidR="00C71FAE">
        <w:t xml:space="preserve"> These frequency offsets are more than adequate. </w:t>
      </w:r>
    </w:p>
    <w:p w14:paraId="1D95ADD3" w14:textId="77777777" w:rsidR="004E35CD" w:rsidRDefault="004E35CD" w:rsidP="00E7545E"/>
    <w:p w14:paraId="123A31E0" w14:textId="1467BD8F" w:rsidR="004E35CD" w:rsidRDefault="004E35CD" w:rsidP="00E7545E">
      <w:r>
        <w:lastRenderedPageBreak/>
        <w:t>Although the modulation frequencies could in principle be shifted/adjusted to adapt to a wide range in arm length, the resonance conditions for the power and signal recycling cavities would need to then be adjusted; this is not practical since many optics are involved and there is in general small tolerance for shifts in the locations of the recycling cavity optics.</w:t>
      </w:r>
    </w:p>
    <w:p w14:paraId="2E27CB70" w14:textId="77777777" w:rsidR="00645568" w:rsidRDefault="00645568" w:rsidP="003B26B7"/>
    <w:p w14:paraId="47B44A73" w14:textId="2A547E73" w:rsidR="00645568" w:rsidRDefault="004E35CD" w:rsidP="004E35CD">
      <w:pPr>
        <w:pStyle w:val="Heading2"/>
      </w:pPr>
      <w:bookmarkStart w:id="9" w:name="_Toc508960439"/>
      <w:r>
        <w:t>Conclusion</w:t>
      </w:r>
      <w:bookmarkEnd w:id="9"/>
    </w:p>
    <w:p w14:paraId="3EA646A0" w14:textId="191CE773" w:rsidR="004E35CD" w:rsidRDefault="00263AB2" w:rsidP="003B26B7">
      <w:r>
        <w:t xml:space="preserve">With survey marker tolerance of </w:t>
      </w:r>
      <w:r>
        <w:t xml:space="preserve">± </w:t>
      </w:r>
      <w:r>
        <w:t>5</w:t>
      </w:r>
      <w:r>
        <w:t xml:space="preserve"> mm</w:t>
      </w:r>
      <w:r>
        <w:t xml:space="preserve"> and as-built placement of the chamber center to ~ </w:t>
      </w:r>
      <w:r>
        <w:t xml:space="preserve">± </w:t>
      </w:r>
      <w:r>
        <w:t>3</w:t>
      </w:r>
      <w:r>
        <w:t xml:space="preserve"> mm</w:t>
      </w:r>
      <w:r>
        <w:t xml:space="preserve">, the resulting arm length error was up to ~30 mm due to </w:t>
      </w:r>
      <w:r>
        <w:t>tolerance build up in the overall assembly</w:t>
      </w:r>
      <w:r>
        <w:t xml:space="preserve">. This magnitude of arm length error is tolerable, with some additional margin. However if the </w:t>
      </w:r>
      <w:r w:rsidR="004E35CD">
        <w:t xml:space="preserve">original chamber axial location tolerance </w:t>
      </w:r>
      <w:r>
        <w:t>(</w:t>
      </w:r>
      <w:r w:rsidR="004E35CD">
        <w:t xml:space="preserve">± </w:t>
      </w:r>
      <w:r w:rsidR="004E35CD">
        <w:t>25</w:t>
      </w:r>
      <w:r w:rsidR="004E35CD">
        <w:t xml:space="preserve"> mm</w:t>
      </w:r>
      <w:r>
        <w:t>) was realized (rather than th</w:t>
      </w:r>
      <w:r w:rsidR="004E35CD">
        <w:t xml:space="preserve">e as-built </w:t>
      </w:r>
      <w:r>
        <w:t xml:space="preserve">error of </w:t>
      </w:r>
      <w:r w:rsidR="004E35CD">
        <w:t xml:space="preserve">~ </w:t>
      </w:r>
      <w:r w:rsidR="004E35CD">
        <w:t xml:space="preserve">± </w:t>
      </w:r>
      <w:r w:rsidR="004E35CD">
        <w:t>3</w:t>
      </w:r>
      <w:r w:rsidR="004E35CD">
        <w:t xml:space="preserve"> mm</w:t>
      </w:r>
      <w:r>
        <w:t xml:space="preserve">) there would be considerably less margin. Since the chamber are capable of being placed to a tighter tolerance, I suggest an axial tolerance for chamber placement, relative to the interface BT/VE monuments, of </w:t>
      </w:r>
      <w:r>
        <w:t xml:space="preserve">± </w:t>
      </w:r>
      <w:r>
        <w:t>5</w:t>
      </w:r>
      <w:r>
        <w:t xml:space="preserve"> mm</w:t>
      </w:r>
      <w:r>
        <w:t>.</w:t>
      </w:r>
    </w:p>
    <w:p w14:paraId="2E7DAA09" w14:textId="77777777" w:rsidR="003B26B7" w:rsidRDefault="003B26B7" w:rsidP="003B26B7"/>
    <w:sectPr w:rsidR="003B26B7" w:rsidSect="004E550E"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DE968" w14:textId="77777777" w:rsidR="0029796F" w:rsidRDefault="0029796F" w:rsidP="0063053D">
      <w:r>
        <w:separator/>
      </w:r>
    </w:p>
  </w:endnote>
  <w:endnote w:type="continuationSeparator" w:id="0">
    <w:p w14:paraId="0365DC26" w14:textId="77777777" w:rsidR="0029796F" w:rsidRDefault="0029796F" w:rsidP="006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03FB" w14:textId="58993EF2" w:rsidR="00E7545E" w:rsidRDefault="00E7545E" w:rsidP="0063053D">
    <w:pPr>
      <w:pStyle w:val="Footer"/>
    </w:pPr>
    <w:r w:rsidRPr="00B5781C">
      <w:t>CALIFORNIA INSTITUTE OF TECHNOLOGY</w:t>
    </w:r>
  </w:p>
  <w:p w14:paraId="3C248E9F" w14:textId="77777777" w:rsidR="00E7545E" w:rsidRPr="00B5781C" w:rsidRDefault="00E7545E" w:rsidP="0063053D">
    <w:pPr>
      <w:pStyle w:val="Footer"/>
      <w:rPr>
        <w:rFonts w:cs="Arial"/>
        <w:i/>
        <w:iCs/>
      </w:rPr>
    </w:pPr>
    <w:r w:rsidRPr="004118D4">
      <w:rPr>
        <w:sz w:val="18"/>
      </w:rPr>
      <w:t>Form F0900023-v1</w:t>
    </w: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6F23E8" w:rsidRPr="006F23E8">
      <w:rPr>
        <w:b/>
        <w:bCs/>
        <w:noProof/>
      </w:rPr>
      <w:t>4</w:t>
    </w:r>
    <w:r w:rsidRPr="008E62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408D" w14:textId="77777777" w:rsidR="0029796F" w:rsidRDefault="0029796F" w:rsidP="0063053D">
      <w:r>
        <w:separator/>
      </w:r>
    </w:p>
  </w:footnote>
  <w:footnote w:type="continuationSeparator" w:id="0">
    <w:p w14:paraId="034BA25A" w14:textId="77777777" w:rsidR="0029796F" w:rsidRDefault="0029796F" w:rsidP="0063053D">
      <w:r>
        <w:continuationSeparator/>
      </w:r>
    </w:p>
  </w:footnote>
  <w:footnote w:id="1">
    <w:p w14:paraId="129BAFFD" w14:textId="04FC7331" w:rsidR="00E7545E" w:rsidRDefault="00E7545E" w:rsidP="00D711B6">
      <w:pPr>
        <w:pStyle w:val="FootnoteText"/>
      </w:pPr>
      <w:r>
        <w:rPr>
          <w:rStyle w:val="FootnoteReference"/>
        </w:rPr>
        <w:footnoteRef/>
      </w:r>
      <w:r>
        <w:t xml:space="preserve"> Document </w:t>
      </w:r>
      <w:hyperlink r:id="rId1" w:history="1">
        <w:r w:rsidRPr="00D711B6">
          <w:rPr>
            <w:rStyle w:val="Hyperlink"/>
          </w:rPr>
          <w:t>C990033</w:t>
        </w:r>
      </w:hyperlink>
      <w:r>
        <w:t>-x0 (pg. 4, 32) gives the as-installed end station BSC positions for LLO (didn’t find the LHO equivalent document):</w:t>
      </w:r>
    </w:p>
    <w:p w14:paraId="79BB3361" w14:textId="370C3240" w:rsidR="00E7545E" w:rsidRDefault="00E7545E" w:rsidP="00D711B6">
      <w:pPr>
        <w:pStyle w:val="FootnoteText"/>
      </w:pPr>
      <w:r>
        <w:t>LBSC4 (LLO, X-end): 0.3 mm lateral, -1.6 mm longitudinal</w:t>
      </w:r>
    </w:p>
    <w:p w14:paraId="5D43BBFA" w14:textId="69F095C4" w:rsidR="00E7545E" w:rsidRDefault="00E7545E" w:rsidP="00D711B6">
      <w:pPr>
        <w:pStyle w:val="FootnoteText"/>
      </w:pPr>
      <w:r>
        <w:t>LBSC5 (LLO, Y-end): 0.2 mm lateral, 0.3 mm vertical, -0.2 mm longitudinal</w:t>
      </w:r>
    </w:p>
  </w:footnote>
  <w:footnote w:id="2">
    <w:p w14:paraId="0E3A1DF1" w14:textId="77777777" w:rsidR="00E7545E" w:rsidRDefault="00E7545E" w:rsidP="00A77DE6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iLIGO</w:t>
      </w:r>
      <w:proofErr w:type="spellEnd"/>
      <w:r>
        <w:t xml:space="preserve"> electronic log entry: </w:t>
      </w:r>
    </w:p>
    <w:p w14:paraId="577DDF15" w14:textId="669B718D" w:rsidR="00E7545E" w:rsidRPr="00A77DE6" w:rsidRDefault="00E7545E" w:rsidP="00A77DE6">
      <w:pPr>
        <w:pStyle w:val="FootnoteText"/>
        <w:jc w:val="left"/>
        <w:rPr>
          <w:sz w:val="16"/>
          <w:szCs w:val="16"/>
        </w:rPr>
      </w:pPr>
      <w:r w:rsidRPr="00A77DE6">
        <w:rPr>
          <w:sz w:val="16"/>
          <w:szCs w:val="16"/>
        </w:rPr>
        <w:t>http://ilog.ligo-wa.caltech.edu/ilog/pub/ilog.cgi?group=detector&amp;date_to_view=05/14/2003&amp;anchor_to_scroll_to=2003:05:14:17:07:59-rick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53E" w14:textId="0D199C93" w:rsidR="00E7545E" w:rsidRPr="004C35A6" w:rsidRDefault="00E7545E" w:rsidP="0063053D">
    <w:pPr>
      <w:pStyle w:val="Header"/>
    </w:pPr>
    <w:r>
      <w:t>T1</w:t>
    </w:r>
    <w:r w:rsidR="00210F9C">
      <w:t>800103</w:t>
    </w:r>
    <w:r>
      <w:t xml:space="preserve">-v1, </w:t>
    </w:r>
    <w:r w:rsidRPr="003B26B7">
      <w:t>Vertex to end station chamber positioning requirement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3C30" w14:textId="3EAB0B44" w:rsidR="00E7545E" w:rsidRDefault="00E7545E">
    <w:pPr>
      <w:pStyle w:val="Header"/>
    </w:pPr>
    <w:r w:rsidRPr="00697C59">
      <mc:AlternateContent>
        <mc:Choice Requires="wps">
          <w:drawing>
            <wp:anchor distT="0" distB="0" distL="114300" distR="114300" simplePos="0" relativeHeight="251657216" behindDoc="0" locked="0" layoutInCell="1" allowOverlap="1" wp14:anchorId="2E652D22" wp14:editId="09324D59">
              <wp:simplePos x="0" y="0"/>
              <wp:positionH relativeFrom="column">
                <wp:posOffset>609599</wp:posOffset>
              </wp:positionH>
              <wp:positionV relativeFrom="paragraph">
                <wp:posOffset>-419100</wp:posOffset>
              </wp:positionV>
              <wp:extent cx="2828925" cy="9677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DFA6A" w14:textId="77777777" w:rsidR="00E7545E" w:rsidRDefault="00E7545E" w:rsidP="00697C59">
                          <w:pPr>
                            <w:pStyle w:val="Header"/>
                          </w:pPr>
                          <w:r>
                            <w:t>Caltech</w:t>
                          </w:r>
                        </w:p>
                        <w:p w14:paraId="3097F788" w14:textId="50FFDDBE" w:rsidR="00E7545E" w:rsidRDefault="00E7545E" w:rsidP="00697C59">
                          <w:pPr>
                            <w:pStyle w:val="Header"/>
                          </w:pPr>
                          <w:r>
                            <w:t>LIGO Laboratory</w:t>
                          </w:r>
                        </w:p>
                        <w:p w14:paraId="3F1EEA29" w14:textId="27A7A95E" w:rsidR="00E7545E" w:rsidRDefault="00E7545E" w:rsidP="00697C59">
                          <w:pPr>
                            <w:pStyle w:val="Header"/>
                          </w:pPr>
                          <w:r>
                            <w:t>1200 E. California Blvd., MC 100-36</w:t>
                          </w:r>
                        </w:p>
                        <w:p w14:paraId="6B4A11BB" w14:textId="409F0BE4" w:rsidR="00E7545E" w:rsidRPr="00866A60" w:rsidRDefault="00E7545E" w:rsidP="00697C59">
                          <w:pPr>
                            <w:pStyle w:val="Heading2Char"/>
                          </w:pPr>
                          <w:r>
                            <w:t>Pasadena, CA 91125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52D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8pt;margin-top:-33pt;width:222.7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" filled="f" stroked="f">
              <v:textbox inset=",7.2pt,,7.2pt">
                <w:txbxContent>
                  <w:p w14:paraId="69CDFA6A" w14:textId="77777777" w:rsidR="00E7545E" w:rsidRDefault="00E7545E" w:rsidP="00697C59">
                    <w:pPr>
                      <w:pStyle w:val="Header"/>
                    </w:pPr>
                    <w:r>
                      <w:t>Caltech</w:t>
                    </w:r>
                  </w:p>
                  <w:p w14:paraId="3097F788" w14:textId="50FFDDBE" w:rsidR="00E7545E" w:rsidRDefault="00E7545E" w:rsidP="00697C59">
                    <w:pPr>
                      <w:pStyle w:val="Header"/>
                    </w:pPr>
                    <w:r>
                      <w:t>LIGO Laboratory</w:t>
                    </w:r>
                  </w:p>
                  <w:p w14:paraId="3F1EEA29" w14:textId="27A7A95E" w:rsidR="00E7545E" w:rsidRDefault="00E7545E" w:rsidP="00697C59">
                    <w:pPr>
                      <w:pStyle w:val="Header"/>
                    </w:pPr>
                    <w:r>
                      <w:t>1200 E. California Blvd., MC 100-36</w:t>
                    </w:r>
                  </w:p>
                  <w:p w14:paraId="6B4A11BB" w14:textId="409F0BE4" w:rsidR="00E7545E" w:rsidRPr="00866A60" w:rsidRDefault="00E7545E" w:rsidP="00697C59">
                    <w:pPr>
                      <w:pStyle w:val="Heading2Char"/>
                    </w:pPr>
                    <w:r>
                      <w:t>Pasadena, CA 91125</w:t>
                    </w:r>
                  </w:p>
                </w:txbxContent>
              </v:textbox>
            </v:shape>
          </w:pict>
        </mc:Fallback>
      </mc:AlternateContent>
    </w:r>
    <w:r w:rsidRPr="00697C59">
      <mc:AlternateContent>
        <mc:Choice Requires="wps">
          <w:drawing>
            <wp:anchor distT="0" distB="0" distL="114300" distR="114300" simplePos="0" relativeHeight="251661312" behindDoc="0" locked="0" layoutInCell="1" allowOverlap="1" wp14:anchorId="48F59919" wp14:editId="42DC0E6A">
              <wp:simplePos x="0" y="0"/>
              <wp:positionH relativeFrom="column">
                <wp:posOffset>4219575</wp:posOffset>
              </wp:positionH>
              <wp:positionV relativeFrom="paragraph">
                <wp:posOffset>-9525</wp:posOffset>
              </wp:positionV>
              <wp:extent cx="2604770" cy="548005"/>
              <wp:effectExtent l="0" t="0" r="5080" b="444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22A79" w14:textId="77777777" w:rsidR="00E7545E" w:rsidRPr="005157DC" w:rsidRDefault="00E7545E" w:rsidP="00697C59">
                          <w:pPr>
                            <w:rPr>
                              <w:sz w:val="22"/>
                            </w:rPr>
                          </w:pPr>
                          <w:r w:rsidRPr="005157DC">
                            <w:rPr>
                              <w:sz w:val="22"/>
                            </w:rPr>
                            <w:t>Division of Physics,</w:t>
                          </w:r>
                        </w:p>
                        <w:p w14:paraId="07C4278C" w14:textId="77777777" w:rsidR="00E7545E" w:rsidRPr="005157DC" w:rsidRDefault="00E7545E" w:rsidP="00697C59">
                          <w:pPr>
                            <w:rPr>
                              <w:sz w:val="22"/>
                            </w:rPr>
                          </w:pPr>
                          <w:r w:rsidRPr="005157DC">
                            <w:rPr>
                              <w:sz w:val="22"/>
                            </w:rPr>
                            <w:t>Mathematics and Astronomy</w:t>
                          </w:r>
                        </w:p>
                        <w:p w14:paraId="0B2DD332" w14:textId="77777777" w:rsidR="00E7545E" w:rsidRPr="005157DC" w:rsidRDefault="00E7545E" w:rsidP="00697C59">
                          <w:pPr>
                            <w:rPr>
                              <w:i/>
                              <w:sz w:val="16"/>
                            </w:rPr>
                          </w:pPr>
                          <w:r w:rsidRPr="005157DC">
                            <w:rPr>
                              <w:i/>
                              <w:sz w:val="16"/>
                            </w:rPr>
                            <w:t>Laser Interferometer Gravitational-Wave Observatory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59919" id="Text Box 20" o:spid="_x0000_s1027" type="#_x0000_t202" style="position:absolute;left:0;text-align:left;margin-left:332.25pt;margin-top:-.75pt;width:205.1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w2hgIAABc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" stroked="f">
              <v:textbox>
                <w:txbxContent>
                  <w:p w14:paraId="26222A79" w14:textId="77777777" w:rsidR="00E7545E" w:rsidRPr="005157DC" w:rsidRDefault="00E7545E" w:rsidP="00697C59">
                    <w:pPr>
                      <w:rPr>
                        <w:sz w:val="22"/>
                      </w:rPr>
                    </w:pPr>
                    <w:r w:rsidRPr="005157DC">
                      <w:rPr>
                        <w:sz w:val="22"/>
                      </w:rPr>
                      <w:t>Division of Physics,</w:t>
                    </w:r>
                  </w:p>
                  <w:p w14:paraId="07C4278C" w14:textId="77777777" w:rsidR="00E7545E" w:rsidRPr="005157DC" w:rsidRDefault="00E7545E" w:rsidP="00697C59">
                    <w:pPr>
                      <w:rPr>
                        <w:sz w:val="22"/>
                      </w:rPr>
                    </w:pPr>
                    <w:r w:rsidRPr="005157DC">
                      <w:rPr>
                        <w:sz w:val="22"/>
                      </w:rPr>
                      <w:t>Mathematics and Astronomy</w:t>
                    </w:r>
                  </w:p>
                  <w:p w14:paraId="0B2DD332" w14:textId="77777777" w:rsidR="00E7545E" w:rsidRPr="005157DC" w:rsidRDefault="00E7545E" w:rsidP="00697C59">
                    <w:pPr>
                      <w:rPr>
                        <w:i/>
                        <w:sz w:val="16"/>
                      </w:rPr>
                    </w:pPr>
                    <w:r w:rsidRPr="005157DC">
                      <w:rPr>
                        <w:i/>
                        <w:sz w:val="16"/>
                      </w:rPr>
                      <w:t>Laser Interferometer Gravitational-Wave Observatory</w:t>
                    </w:r>
                  </w:p>
                </w:txbxContent>
              </v:textbox>
            </v:shape>
          </w:pict>
        </mc:Fallback>
      </mc:AlternateContent>
    </w:r>
    <w:r w:rsidRPr="00697C59">
      <w:drawing>
        <wp:anchor distT="0" distB="0" distL="114300" distR="114300" simplePos="0" relativeHeight="251654144" behindDoc="1" locked="1" layoutInCell="1" allowOverlap="1" wp14:anchorId="7B4DF9BA" wp14:editId="0765416E">
          <wp:simplePos x="0" y="0"/>
          <wp:positionH relativeFrom="page">
            <wp:posOffset>5276850</wp:posOffset>
          </wp:positionH>
          <wp:positionV relativeFrom="page">
            <wp:posOffset>114935</wp:posOffset>
          </wp:positionV>
          <wp:extent cx="1143000" cy="273050"/>
          <wp:effectExtent l="0" t="0" r="0" b="0"/>
          <wp:wrapNone/>
          <wp:docPr id="10" name="Picture 10" descr="caltech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ltech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6F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3CBC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34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B8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469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C3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A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2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41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717E6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61365"/>
    <w:multiLevelType w:val="hybridMultilevel"/>
    <w:tmpl w:val="63E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571EE"/>
    <w:multiLevelType w:val="hybridMultilevel"/>
    <w:tmpl w:val="FE2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54162"/>
    <w:multiLevelType w:val="hybridMultilevel"/>
    <w:tmpl w:val="1DC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F6E75"/>
    <w:multiLevelType w:val="hybridMultilevel"/>
    <w:tmpl w:val="502A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70D2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55A6"/>
    <w:multiLevelType w:val="hybridMultilevel"/>
    <w:tmpl w:val="2CC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7725"/>
    <w:multiLevelType w:val="hybridMultilevel"/>
    <w:tmpl w:val="AEFC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6A8"/>
    <w:multiLevelType w:val="hybridMultilevel"/>
    <w:tmpl w:val="63D43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992468"/>
    <w:multiLevelType w:val="hybridMultilevel"/>
    <w:tmpl w:val="D7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94DEC"/>
    <w:multiLevelType w:val="hybridMultilevel"/>
    <w:tmpl w:val="55BEE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54DEC"/>
    <w:multiLevelType w:val="hybridMultilevel"/>
    <w:tmpl w:val="D2D2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65313"/>
    <w:multiLevelType w:val="hybridMultilevel"/>
    <w:tmpl w:val="28440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D7EBE"/>
    <w:multiLevelType w:val="hybridMultilevel"/>
    <w:tmpl w:val="46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C4A2D"/>
    <w:multiLevelType w:val="hybridMultilevel"/>
    <w:tmpl w:val="C3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4C4A"/>
    <w:multiLevelType w:val="multilevel"/>
    <w:tmpl w:val="4A5062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2AC4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467326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81FA8"/>
    <w:multiLevelType w:val="hybridMultilevel"/>
    <w:tmpl w:val="6EA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A5BC8"/>
    <w:multiLevelType w:val="hybridMultilevel"/>
    <w:tmpl w:val="B24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75927"/>
    <w:multiLevelType w:val="hybridMultilevel"/>
    <w:tmpl w:val="BB72A798"/>
    <w:lvl w:ilvl="0" w:tplc="9198131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A4024"/>
    <w:multiLevelType w:val="hybridMultilevel"/>
    <w:tmpl w:val="E92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95ABC"/>
    <w:multiLevelType w:val="hybridMultilevel"/>
    <w:tmpl w:val="74E87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D18DD"/>
    <w:multiLevelType w:val="hybridMultilevel"/>
    <w:tmpl w:val="12B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A7FAC"/>
    <w:multiLevelType w:val="multilevel"/>
    <w:tmpl w:val="A476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5733B3"/>
    <w:multiLevelType w:val="hybridMultilevel"/>
    <w:tmpl w:val="309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247E7"/>
    <w:multiLevelType w:val="hybridMultilevel"/>
    <w:tmpl w:val="430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D1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E6207F"/>
    <w:multiLevelType w:val="hybridMultilevel"/>
    <w:tmpl w:val="D9F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0758C"/>
    <w:multiLevelType w:val="hybridMultilevel"/>
    <w:tmpl w:val="1E7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46D7"/>
    <w:multiLevelType w:val="hybridMultilevel"/>
    <w:tmpl w:val="AA72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45E3"/>
    <w:multiLevelType w:val="hybridMultilevel"/>
    <w:tmpl w:val="C17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304D6"/>
    <w:multiLevelType w:val="hybridMultilevel"/>
    <w:tmpl w:val="8C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24"/>
  </w:num>
  <w:num w:numId="5">
    <w:abstractNumId w:val="42"/>
  </w:num>
  <w:num w:numId="6">
    <w:abstractNumId w:val="12"/>
  </w:num>
  <w:num w:numId="7">
    <w:abstractNumId w:val="23"/>
  </w:num>
  <w:num w:numId="8">
    <w:abstractNumId w:val="10"/>
  </w:num>
  <w:num w:numId="9">
    <w:abstractNumId w:val="41"/>
  </w:num>
  <w:num w:numId="10">
    <w:abstractNumId w:val="30"/>
  </w:num>
  <w:num w:numId="11">
    <w:abstractNumId w:val="28"/>
  </w:num>
  <w:num w:numId="12">
    <w:abstractNumId w:val="3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9"/>
  </w:num>
  <w:num w:numId="25">
    <w:abstractNumId w:val="26"/>
  </w:num>
  <w:num w:numId="26">
    <w:abstractNumId w:val="25"/>
  </w:num>
  <w:num w:numId="27">
    <w:abstractNumId w:val="37"/>
  </w:num>
  <w:num w:numId="28">
    <w:abstractNumId w:val="34"/>
  </w:num>
  <w:num w:numId="29">
    <w:abstractNumId w:val="31"/>
  </w:num>
  <w:num w:numId="30">
    <w:abstractNumId w:val="39"/>
  </w:num>
  <w:num w:numId="31">
    <w:abstractNumId w:val="35"/>
  </w:num>
  <w:num w:numId="32">
    <w:abstractNumId w:val="11"/>
  </w:num>
  <w:num w:numId="33">
    <w:abstractNumId w:val="21"/>
  </w:num>
  <w:num w:numId="34">
    <w:abstractNumId w:val="18"/>
  </w:num>
  <w:num w:numId="35">
    <w:abstractNumId w:val="20"/>
  </w:num>
  <w:num w:numId="36">
    <w:abstractNumId w:val="13"/>
  </w:num>
  <w:num w:numId="37">
    <w:abstractNumId w:val="22"/>
  </w:num>
  <w:num w:numId="38">
    <w:abstractNumId w:val="38"/>
  </w:num>
  <w:num w:numId="39">
    <w:abstractNumId w:val="36"/>
  </w:num>
  <w:num w:numId="40">
    <w:abstractNumId w:val="16"/>
  </w:num>
  <w:num w:numId="41">
    <w:abstractNumId w:val="17"/>
  </w:num>
  <w:num w:numId="42">
    <w:abstractNumId w:val="4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2D78"/>
    <w:rsid w:val="0002413A"/>
    <w:rsid w:val="00024AF8"/>
    <w:rsid w:val="00026454"/>
    <w:rsid w:val="00042FB6"/>
    <w:rsid w:val="000565F0"/>
    <w:rsid w:val="00063B3C"/>
    <w:rsid w:val="00063DCF"/>
    <w:rsid w:val="00063F14"/>
    <w:rsid w:val="0007564E"/>
    <w:rsid w:val="00085E94"/>
    <w:rsid w:val="0009053E"/>
    <w:rsid w:val="00097DA6"/>
    <w:rsid w:val="000A3EF6"/>
    <w:rsid w:val="000A520D"/>
    <w:rsid w:val="000A5C03"/>
    <w:rsid w:val="000C055F"/>
    <w:rsid w:val="000D3430"/>
    <w:rsid w:val="000D5B92"/>
    <w:rsid w:val="000D7B47"/>
    <w:rsid w:val="000E4185"/>
    <w:rsid w:val="000E5EE6"/>
    <w:rsid w:val="0010182E"/>
    <w:rsid w:val="00107F5A"/>
    <w:rsid w:val="00111A3C"/>
    <w:rsid w:val="00126FDF"/>
    <w:rsid w:val="00155C89"/>
    <w:rsid w:val="001568F1"/>
    <w:rsid w:val="001644C5"/>
    <w:rsid w:val="001732E3"/>
    <w:rsid w:val="00183846"/>
    <w:rsid w:val="00186CAA"/>
    <w:rsid w:val="001A4131"/>
    <w:rsid w:val="001A5978"/>
    <w:rsid w:val="001B35CC"/>
    <w:rsid w:val="001B44F5"/>
    <w:rsid w:val="001C664A"/>
    <w:rsid w:val="001E0731"/>
    <w:rsid w:val="001E33D9"/>
    <w:rsid w:val="001E7F12"/>
    <w:rsid w:val="001F0106"/>
    <w:rsid w:val="00200765"/>
    <w:rsid w:val="00210308"/>
    <w:rsid w:val="00210F9C"/>
    <w:rsid w:val="0021178D"/>
    <w:rsid w:val="00223B91"/>
    <w:rsid w:val="002244B2"/>
    <w:rsid w:val="0023423F"/>
    <w:rsid w:val="002503F3"/>
    <w:rsid w:val="002506D2"/>
    <w:rsid w:val="00252795"/>
    <w:rsid w:val="00253690"/>
    <w:rsid w:val="00256361"/>
    <w:rsid w:val="00263AB2"/>
    <w:rsid w:val="00263CDC"/>
    <w:rsid w:val="002670AC"/>
    <w:rsid w:val="00280C53"/>
    <w:rsid w:val="00281923"/>
    <w:rsid w:val="002968A5"/>
    <w:rsid w:val="0029796F"/>
    <w:rsid w:val="002A3708"/>
    <w:rsid w:val="002B3234"/>
    <w:rsid w:val="002C18EE"/>
    <w:rsid w:val="002C5F95"/>
    <w:rsid w:val="002D1781"/>
    <w:rsid w:val="002E484B"/>
    <w:rsid w:val="002E61BE"/>
    <w:rsid w:val="002F2C5F"/>
    <w:rsid w:val="00303999"/>
    <w:rsid w:val="00306B96"/>
    <w:rsid w:val="00306D68"/>
    <w:rsid w:val="003244A9"/>
    <w:rsid w:val="0033084C"/>
    <w:rsid w:val="0033462A"/>
    <w:rsid w:val="0034778D"/>
    <w:rsid w:val="00357315"/>
    <w:rsid w:val="0037033D"/>
    <w:rsid w:val="0037599B"/>
    <w:rsid w:val="0038078D"/>
    <w:rsid w:val="003A23CA"/>
    <w:rsid w:val="003B17E3"/>
    <w:rsid w:val="003B26B7"/>
    <w:rsid w:val="003C0F8E"/>
    <w:rsid w:val="003C1E63"/>
    <w:rsid w:val="003C59D9"/>
    <w:rsid w:val="003D7598"/>
    <w:rsid w:val="004118D4"/>
    <w:rsid w:val="004371E8"/>
    <w:rsid w:val="00467EEC"/>
    <w:rsid w:val="00477DD2"/>
    <w:rsid w:val="004A58C3"/>
    <w:rsid w:val="004B34F9"/>
    <w:rsid w:val="004B447D"/>
    <w:rsid w:val="004B621D"/>
    <w:rsid w:val="004B7B3B"/>
    <w:rsid w:val="004C35A6"/>
    <w:rsid w:val="004C4E7F"/>
    <w:rsid w:val="004C5841"/>
    <w:rsid w:val="004C723B"/>
    <w:rsid w:val="004C7606"/>
    <w:rsid w:val="004E35CD"/>
    <w:rsid w:val="004E550E"/>
    <w:rsid w:val="004F622E"/>
    <w:rsid w:val="00507E3A"/>
    <w:rsid w:val="00530957"/>
    <w:rsid w:val="005324AA"/>
    <w:rsid w:val="0055002C"/>
    <w:rsid w:val="005564BE"/>
    <w:rsid w:val="00557A29"/>
    <w:rsid w:val="005668FB"/>
    <w:rsid w:val="0057103E"/>
    <w:rsid w:val="005802DB"/>
    <w:rsid w:val="005822C6"/>
    <w:rsid w:val="00584813"/>
    <w:rsid w:val="005C5F1C"/>
    <w:rsid w:val="0063053D"/>
    <w:rsid w:val="0063302B"/>
    <w:rsid w:val="00645568"/>
    <w:rsid w:val="00686C7F"/>
    <w:rsid w:val="00697A05"/>
    <w:rsid w:val="00697C59"/>
    <w:rsid w:val="006B178C"/>
    <w:rsid w:val="006B6D53"/>
    <w:rsid w:val="006D6987"/>
    <w:rsid w:val="006D6B62"/>
    <w:rsid w:val="006F23E8"/>
    <w:rsid w:val="00704347"/>
    <w:rsid w:val="00713535"/>
    <w:rsid w:val="007317DF"/>
    <w:rsid w:val="00732E77"/>
    <w:rsid w:val="00741740"/>
    <w:rsid w:val="00743E32"/>
    <w:rsid w:val="007463BF"/>
    <w:rsid w:val="007542BD"/>
    <w:rsid w:val="00754361"/>
    <w:rsid w:val="007679D8"/>
    <w:rsid w:val="00777B88"/>
    <w:rsid w:val="00787461"/>
    <w:rsid w:val="00792E84"/>
    <w:rsid w:val="0079332F"/>
    <w:rsid w:val="00795D6C"/>
    <w:rsid w:val="0079777C"/>
    <w:rsid w:val="007E1B9A"/>
    <w:rsid w:val="007E7F57"/>
    <w:rsid w:val="007F00B4"/>
    <w:rsid w:val="00800BFD"/>
    <w:rsid w:val="008108A4"/>
    <w:rsid w:val="00812EEC"/>
    <w:rsid w:val="00825C2F"/>
    <w:rsid w:val="00826633"/>
    <w:rsid w:val="00833585"/>
    <w:rsid w:val="00842D61"/>
    <w:rsid w:val="00864A84"/>
    <w:rsid w:val="0087517C"/>
    <w:rsid w:val="008A1EFB"/>
    <w:rsid w:val="008B108D"/>
    <w:rsid w:val="008B4C41"/>
    <w:rsid w:val="008C3986"/>
    <w:rsid w:val="008D3132"/>
    <w:rsid w:val="008E05EA"/>
    <w:rsid w:val="008E0908"/>
    <w:rsid w:val="008E1791"/>
    <w:rsid w:val="008E2B36"/>
    <w:rsid w:val="008E6250"/>
    <w:rsid w:val="008E776D"/>
    <w:rsid w:val="008F0F0C"/>
    <w:rsid w:val="009248AB"/>
    <w:rsid w:val="00944022"/>
    <w:rsid w:val="00945849"/>
    <w:rsid w:val="009A3384"/>
    <w:rsid w:val="009B36F3"/>
    <w:rsid w:val="009B3AAC"/>
    <w:rsid w:val="009B4D4D"/>
    <w:rsid w:val="009B61AD"/>
    <w:rsid w:val="009D4D73"/>
    <w:rsid w:val="009E2D37"/>
    <w:rsid w:val="009F4133"/>
    <w:rsid w:val="009F50FF"/>
    <w:rsid w:val="009F6F3C"/>
    <w:rsid w:val="00A00E73"/>
    <w:rsid w:val="00A1217C"/>
    <w:rsid w:val="00A71C17"/>
    <w:rsid w:val="00A75F3A"/>
    <w:rsid w:val="00A77DE6"/>
    <w:rsid w:val="00A868EC"/>
    <w:rsid w:val="00A874DC"/>
    <w:rsid w:val="00A912BE"/>
    <w:rsid w:val="00A93673"/>
    <w:rsid w:val="00AC2C21"/>
    <w:rsid w:val="00AC7582"/>
    <w:rsid w:val="00AD52A9"/>
    <w:rsid w:val="00B15D31"/>
    <w:rsid w:val="00B176ED"/>
    <w:rsid w:val="00B52937"/>
    <w:rsid w:val="00B56E89"/>
    <w:rsid w:val="00B5781C"/>
    <w:rsid w:val="00B6042D"/>
    <w:rsid w:val="00B67F7F"/>
    <w:rsid w:val="00B773EE"/>
    <w:rsid w:val="00B81252"/>
    <w:rsid w:val="00B93C6A"/>
    <w:rsid w:val="00BA1900"/>
    <w:rsid w:val="00BB7B01"/>
    <w:rsid w:val="00BF74A5"/>
    <w:rsid w:val="00C1370A"/>
    <w:rsid w:val="00C160B2"/>
    <w:rsid w:val="00C161A9"/>
    <w:rsid w:val="00C21367"/>
    <w:rsid w:val="00C21460"/>
    <w:rsid w:val="00C26F14"/>
    <w:rsid w:val="00C27A1A"/>
    <w:rsid w:val="00C37689"/>
    <w:rsid w:val="00C43DBE"/>
    <w:rsid w:val="00C57788"/>
    <w:rsid w:val="00C71FAE"/>
    <w:rsid w:val="00C77415"/>
    <w:rsid w:val="00C81A47"/>
    <w:rsid w:val="00C96916"/>
    <w:rsid w:val="00CD3BA3"/>
    <w:rsid w:val="00CD5309"/>
    <w:rsid w:val="00CD7D43"/>
    <w:rsid w:val="00CE61AF"/>
    <w:rsid w:val="00D0068F"/>
    <w:rsid w:val="00D12409"/>
    <w:rsid w:val="00D24BC6"/>
    <w:rsid w:val="00D27313"/>
    <w:rsid w:val="00D620D0"/>
    <w:rsid w:val="00D67AB7"/>
    <w:rsid w:val="00D711B6"/>
    <w:rsid w:val="00D961DE"/>
    <w:rsid w:val="00D974B1"/>
    <w:rsid w:val="00DB5CDB"/>
    <w:rsid w:val="00DC2C9D"/>
    <w:rsid w:val="00DE45E9"/>
    <w:rsid w:val="00DE72BD"/>
    <w:rsid w:val="00E0645E"/>
    <w:rsid w:val="00E06748"/>
    <w:rsid w:val="00E16B5A"/>
    <w:rsid w:val="00E34B27"/>
    <w:rsid w:val="00E40E30"/>
    <w:rsid w:val="00E4414F"/>
    <w:rsid w:val="00E671A0"/>
    <w:rsid w:val="00E72A2E"/>
    <w:rsid w:val="00E7545E"/>
    <w:rsid w:val="00E75EB8"/>
    <w:rsid w:val="00E866F1"/>
    <w:rsid w:val="00E870C2"/>
    <w:rsid w:val="00E92A1D"/>
    <w:rsid w:val="00EC4E46"/>
    <w:rsid w:val="00ED0C86"/>
    <w:rsid w:val="00ED4513"/>
    <w:rsid w:val="00ED6F42"/>
    <w:rsid w:val="00ED79E6"/>
    <w:rsid w:val="00EE784F"/>
    <w:rsid w:val="00EF1BC6"/>
    <w:rsid w:val="00F03EFB"/>
    <w:rsid w:val="00F05A7F"/>
    <w:rsid w:val="00F07999"/>
    <w:rsid w:val="00F17162"/>
    <w:rsid w:val="00F426AA"/>
    <w:rsid w:val="00F56A97"/>
    <w:rsid w:val="00F62A9A"/>
    <w:rsid w:val="00F75581"/>
    <w:rsid w:val="00F77056"/>
    <w:rsid w:val="00FC3A36"/>
    <w:rsid w:val="00FE4BC9"/>
    <w:rsid w:val="00FF049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109C1"/>
  <w15:docId w15:val="{A4C7C7F4-178F-4486-8A36-68B15C5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3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4513"/>
    <w:pPr>
      <w:keepNext/>
      <w:numPr>
        <w:numId w:val="26"/>
      </w:numPr>
      <w:outlineLvl w:val="0"/>
    </w:pPr>
    <w:rPr>
      <w:b/>
      <w:i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71FAE"/>
    <w:pPr>
      <w:keepNext/>
      <w:keepLines/>
      <w:numPr>
        <w:ilvl w:val="1"/>
        <w:numId w:val="26"/>
      </w:numPr>
      <w:spacing w:before="40"/>
      <w:ind w:left="576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513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513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51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51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51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51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51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4E4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7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B47"/>
  </w:style>
  <w:style w:type="character" w:styleId="FootnoteReference">
    <w:name w:val="footnote reference"/>
    <w:basedOn w:val="DefaultParagraphFont"/>
    <w:rsid w:val="000D7B4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6250"/>
    <w:rPr>
      <w:sz w:val="24"/>
      <w:szCs w:val="24"/>
    </w:rPr>
  </w:style>
  <w:style w:type="character" w:styleId="Hyperlink">
    <w:name w:val="Hyperlink"/>
    <w:basedOn w:val="DefaultParagraphFont"/>
    <w:uiPriority w:val="99"/>
    <w:rsid w:val="000D5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067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71FA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D45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4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45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D451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D4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4513"/>
    <w:pPr>
      <w:spacing w:after="100"/>
      <w:ind w:left="240"/>
    </w:pPr>
  </w:style>
  <w:style w:type="table" w:styleId="TableGrid">
    <w:name w:val="Table Grid"/>
    <w:basedOn w:val="TableNormal"/>
    <w:rsid w:val="00C9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c.ligo.org/LIGO-D961474/publi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D961249/public" TargetMode="External"/><Relationship Id="rId17" Type="http://schemas.openxmlformats.org/officeDocument/2006/relationships/hyperlink" Target="https://dcc.ligo.org/LIGO-T1000298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200345/publi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C960967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E000053" TargetMode="External"/><Relationship Id="rId10" Type="http://schemas.openxmlformats.org/officeDocument/2006/relationships/hyperlink" Target="https://dcc.ligo.org/LIGO-C960965/publi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940002/public" TargetMode="External"/><Relationship Id="rId14" Type="http://schemas.openxmlformats.org/officeDocument/2006/relationships/hyperlink" Target="https://dcc.ligo.org/LIGO-T980044/public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cc.ligo.org/LIGO-C990033/publi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A06C-B2FA-42F4-8315-FA421FC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K. Wood</dc:creator>
  <cp:lastModifiedBy>Dennis Coyne</cp:lastModifiedBy>
  <cp:revision>4</cp:revision>
  <cp:lastPrinted>2018-03-16T17:45:00Z</cp:lastPrinted>
  <dcterms:created xsi:type="dcterms:W3CDTF">2018-03-16T17:44:00Z</dcterms:created>
  <dcterms:modified xsi:type="dcterms:W3CDTF">2018-03-16T17:46:00Z</dcterms:modified>
</cp:coreProperties>
</file>