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515" w14:textId="77777777" w:rsidR="00FB1B59" w:rsidRDefault="00FB1B59">
      <w:pPr>
        <w:pStyle w:val="PlainText"/>
        <w:jc w:val="center"/>
        <w:rPr>
          <w:i/>
          <w:sz w:val="36"/>
        </w:rPr>
      </w:pPr>
    </w:p>
    <w:p w14:paraId="01437826" w14:textId="77777777" w:rsidR="00FB1B59" w:rsidRDefault="00FB1B59">
      <w:pPr>
        <w:pStyle w:val="PlainText"/>
        <w:jc w:val="center"/>
        <w:rPr>
          <w:i/>
          <w:sz w:val="36"/>
        </w:rPr>
      </w:pPr>
      <w:r>
        <w:rPr>
          <w:i/>
          <w:sz w:val="36"/>
        </w:rPr>
        <w:t>LIGO Laboratory / LIGO Scientific Collaboration</w:t>
      </w:r>
    </w:p>
    <w:p w14:paraId="1465047A" w14:textId="77777777" w:rsidR="00FB1B59" w:rsidRDefault="00FB1B59">
      <w:pPr>
        <w:pStyle w:val="PlainText"/>
        <w:jc w:val="center"/>
        <w:rPr>
          <w:sz w:val="36"/>
        </w:rPr>
      </w:pPr>
    </w:p>
    <w:p w14:paraId="0269786B" w14:textId="77777777" w:rsidR="00FB1B59" w:rsidRDefault="00FB1B59">
      <w:pPr>
        <w:pStyle w:val="PlainText"/>
        <w:jc w:val="left"/>
        <w:rPr>
          <w:sz w:val="36"/>
        </w:rPr>
      </w:pPr>
    </w:p>
    <w:p w14:paraId="233D536A" w14:textId="71EFD9A5"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3720A9">
        <w:t>LIGO-</w:t>
      </w:r>
      <w:r w:rsidR="00F514FB">
        <w:t>T</w:t>
      </w:r>
      <w:r w:rsidR="008774E6" w:rsidRPr="008774E6">
        <w:t>1</w:t>
      </w:r>
      <w:r w:rsidR="00F514FB">
        <w:t>7</w:t>
      </w:r>
      <w:r w:rsidR="008774E6" w:rsidRPr="008774E6">
        <w:t>00</w:t>
      </w:r>
      <w:r w:rsidR="005F2199">
        <w:t>433</w:t>
      </w:r>
      <w:r w:rsidR="00084661">
        <w:t>-v</w:t>
      </w:r>
      <w:r w:rsidR="00781196">
        <w:t>2</w:t>
      </w:r>
      <w:r w:rsidR="00FB1B59" w:rsidRPr="003720A9">
        <w:tab/>
      </w:r>
      <w:r w:rsidR="00D32141">
        <w:rPr>
          <w:rFonts w:ascii="Times" w:hAnsi="Times"/>
          <w:i/>
          <w:iCs/>
          <w:sz w:val="28"/>
          <w:szCs w:val="28"/>
        </w:rPr>
        <w:t>A</w:t>
      </w:r>
      <w:r w:rsidR="003720A9" w:rsidRPr="003720A9">
        <w:rPr>
          <w:rFonts w:ascii="Times" w:hAnsi="Times"/>
          <w:i/>
          <w:iCs/>
          <w:sz w:val="28"/>
          <w:szCs w:val="28"/>
        </w:rPr>
        <w:t>dvanced LIGO</w:t>
      </w:r>
      <w:r w:rsidR="00FB1B59">
        <w:tab/>
      </w:r>
      <w:r w:rsidR="00781196">
        <w:t>June 6</w:t>
      </w:r>
      <w:r w:rsidR="00F514FB">
        <w:t>, 201</w:t>
      </w:r>
      <w:r w:rsidR="00781196">
        <w:t>8</w:t>
      </w:r>
    </w:p>
    <w:p w14:paraId="02B5BDA0" w14:textId="77777777" w:rsidR="00FB1B59" w:rsidRDefault="001346D8">
      <w:pPr>
        <w:pBdr>
          <w:top w:val="threeDEmboss" w:sz="24" w:space="1" w:color="auto"/>
          <w:left w:val="threeDEmboss" w:sz="24" w:space="4" w:color="auto"/>
          <w:bottom w:val="threeDEmboss" w:sz="24" w:space="1" w:color="auto"/>
          <w:right w:val="threeDEmboss" w:sz="24" w:space="4" w:color="auto"/>
        </w:pBdr>
      </w:pPr>
      <w:r>
        <w:pict w14:anchorId="22B84961">
          <v:rect id="_x0000_i1025" style="width:0;height:1.5pt" o:hralign="center" o:hrstd="t" o:hr="t" fillcolor="gray" stroked="f">
            <v:imagedata r:id="rId8" o:title=""/>
          </v:rect>
        </w:pict>
      </w:r>
    </w:p>
    <w:p w14:paraId="11386720" w14:textId="77777777" w:rsidR="00FB1B59" w:rsidRDefault="00105447">
      <w:pPr>
        <w:pStyle w:val="BodyText"/>
        <w:pBdr>
          <w:top w:val="threeDEmboss" w:sz="24" w:space="1" w:color="auto"/>
          <w:left w:val="threeDEmboss" w:sz="24" w:space="4" w:color="auto"/>
          <w:bottom w:val="threeDEmboss" w:sz="24" w:space="1" w:color="auto"/>
          <w:right w:val="threeDEmboss" w:sz="24" w:space="4" w:color="auto"/>
        </w:pBdr>
      </w:pPr>
      <w:r>
        <w:t xml:space="preserve">Modernizing the </w:t>
      </w:r>
      <w:r w:rsidR="004F134C">
        <w:t xml:space="preserve">EtherCAT </w:t>
      </w:r>
      <w:r>
        <w:t>Slow Controls System</w:t>
      </w:r>
    </w:p>
    <w:p w14:paraId="3BD8F71B" w14:textId="77777777" w:rsidR="00FB1B59" w:rsidRDefault="001346D8">
      <w:pPr>
        <w:pBdr>
          <w:top w:val="threeDEmboss" w:sz="24" w:space="1" w:color="auto"/>
          <w:left w:val="threeDEmboss" w:sz="24" w:space="4" w:color="auto"/>
          <w:bottom w:val="threeDEmboss" w:sz="24" w:space="1" w:color="auto"/>
          <w:right w:val="threeDEmboss" w:sz="24" w:space="4" w:color="auto"/>
        </w:pBdr>
      </w:pPr>
      <w:r>
        <w:pict w14:anchorId="12E3DD97">
          <v:rect id="_x0000_i1026" style="width:0;height:1.5pt" o:hralign="center" o:hrstd="t" o:hr="t" fillcolor="gray" stroked="f">
            <v:imagedata r:id="rId8" o:title=""/>
          </v:rect>
        </w:pict>
      </w:r>
    </w:p>
    <w:p w14:paraId="0D8C89AF" w14:textId="77777777" w:rsidR="00FB1B59" w:rsidRDefault="00FB1B59" w:rsidP="00A27CCE">
      <w:pPr>
        <w:pBdr>
          <w:top w:val="threeDEmboss" w:sz="24" w:space="1" w:color="auto"/>
          <w:left w:val="threeDEmboss" w:sz="24" w:space="4" w:color="auto"/>
          <w:bottom w:val="threeDEmboss" w:sz="24" w:space="1" w:color="auto"/>
          <w:right w:val="threeDEmboss" w:sz="24" w:space="4" w:color="auto"/>
        </w:pBdr>
        <w:spacing w:before="0" w:after="120"/>
        <w:jc w:val="center"/>
      </w:pPr>
      <w:bookmarkStart w:id="0" w:name="OLE_LINK1"/>
      <w:bookmarkStart w:id="1" w:name="OLE_LINK2"/>
      <w:r>
        <w:t>D</w:t>
      </w:r>
      <w:r w:rsidR="00EC7177">
        <w:t>aniel</w:t>
      </w:r>
      <w:r>
        <w:t xml:space="preserve"> Sigg</w:t>
      </w:r>
      <w:r w:rsidR="00EC7177">
        <w:t xml:space="preserve">, </w:t>
      </w:r>
      <w:bookmarkEnd w:id="0"/>
      <w:bookmarkEnd w:id="1"/>
      <w:r w:rsidR="00105447">
        <w:t>Patrick Thomas</w:t>
      </w:r>
    </w:p>
    <w:p w14:paraId="638AC9A7" w14:textId="77777777" w:rsidR="00FB1B59" w:rsidRDefault="00FB1B59">
      <w:pPr>
        <w:pStyle w:val="PlainText"/>
        <w:spacing w:before="0"/>
        <w:jc w:val="center"/>
      </w:pPr>
    </w:p>
    <w:p w14:paraId="5E66E5A8" w14:textId="77777777" w:rsidR="00FB1B59" w:rsidRDefault="00FB1B59">
      <w:pPr>
        <w:pStyle w:val="PlainText"/>
        <w:spacing w:before="0"/>
        <w:jc w:val="center"/>
      </w:pPr>
      <w:r>
        <w:t>Distribution of this document:</w:t>
      </w:r>
    </w:p>
    <w:p w14:paraId="2C853DA4" w14:textId="77777777" w:rsidR="00FB1B59" w:rsidRDefault="00FB1B59">
      <w:pPr>
        <w:pStyle w:val="PlainText"/>
        <w:spacing w:before="0"/>
        <w:jc w:val="center"/>
      </w:pPr>
      <w:r>
        <w:t>LIGO Scientific Collaboration</w:t>
      </w:r>
    </w:p>
    <w:p w14:paraId="0E9A8DBB" w14:textId="77777777" w:rsidR="00FB1B59" w:rsidRDefault="00FB1B59">
      <w:pPr>
        <w:pStyle w:val="PlainText"/>
        <w:spacing w:before="0"/>
        <w:jc w:val="center"/>
      </w:pPr>
    </w:p>
    <w:p w14:paraId="5A3BE78B" w14:textId="77777777" w:rsidR="00FB1B59" w:rsidRDefault="00FB1B59">
      <w:pPr>
        <w:pStyle w:val="PlainText"/>
        <w:spacing w:before="0"/>
        <w:jc w:val="center"/>
      </w:pPr>
      <w:r>
        <w:t>This is an internal working note</w:t>
      </w:r>
      <w:r w:rsidR="0052048C">
        <w:t xml:space="preserve"> </w:t>
      </w:r>
      <w:r>
        <w:t>of the LIGO Laboratory.</w:t>
      </w:r>
    </w:p>
    <w:p w14:paraId="472EAA92" w14:textId="77777777" w:rsidR="001F2E63" w:rsidRDefault="001F2E63">
      <w:pPr>
        <w:pStyle w:val="PlainText"/>
        <w:spacing w:before="0"/>
        <w:jc w:val="center"/>
      </w:pPr>
    </w:p>
    <w:p w14:paraId="64526C2B" w14:textId="77777777" w:rsidR="001F2E63" w:rsidRDefault="001F2E63">
      <w:pPr>
        <w:pStyle w:val="PlainText"/>
        <w:spacing w:before="0"/>
        <w:jc w:val="center"/>
      </w:pPr>
    </w:p>
    <w:p w14:paraId="490C9240" w14:textId="77777777" w:rsidR="001F2E63" w:rsidRDefault="001F2E63">
      <w:pPr>
        <w:pStyle w:val="PlainText"/>
        <w:spacing w:before="0"/>
        <w:jc w:val="center"/>
      </w:pPr>
    </w:p>
    <w:p w14:paraId="025378EC" w14:textId="77777777" w:rsidR="001F2E63" w:rsidRDefault="001F2E63">
      <w:pPr>
        <w:pStyle w:val="PlainText"/>
        <w:spacing w:before="0"/>
        <w:jc w:val="center"/>
      </w:pPr>
    </w:p>
    <w:p w14:paraId="575296C7" w14:textId="77777777" w:rsidR="00FB1B59" w:rsidRDefault="00FB1B59">
      <w:pPr>
        <w:pStyle w:val="PlainText"/>
        <w:spacing w:before="0"/>
        <w:jc w:val="left"/>
      </w:pPr>
    </w:p>
    <w:tbl>
      <w:tblPr>
        <w:tblW w:w="0" w:type="auto"/>
        <w:tblLook w:val="0000" w:firstRow="0" w:lastRow="0" w:firstColumn="0" w:lastColumn="0" w:noHBand="0" w:noVBand="0"/>
      </w:tblPr>
      <w:tblGrid>
        <w:gridCol w:w="4802"/>
        <w:gridCol w:w="4788"/>
      </w:tblGrid>
      <w:tr w:rsidR="00FB1B59" w14:paraId="4766509E" w14:textId="77777777">
        <w:tc>
          <w:tcPr>
            <w:tcW w:w="4909" w:type="dxa"/>
          </w:tcPr>
          <w:p w14:paraId="166F2E1C" w14:textId="77777777" w:rsidR="00FB1B59" w:rsidRDefault="00FB1B59">
            <w:pPr>
              <w:pStyle w:val="PlainText"/>
              <w:spacing w:before="0"/>
              <w:jc w:val="center"/>
              <w:rPr>
                <w:b/>
                <w:bCs/>
                <w:color w:val="808080"/>
              </w:rPr>
            </w:pPr>
            <w:r>
              <w:rPr>
                <w:b/>
                <w:bCs/>
                <w:color w:val="808080"/>
              </w:rPr>
              <w:t>California Institute of Technology</w:t>
            </w:r>
          </w:p>
          <w:p w14:paraId="42489C2C" w14:textId="77777777" w:rsidR="00FB1B59" w:rsidRDefault="00FB1B59">
            <w:pPr>
              <w:pStyle w:val="PlainText"/>
              <w:spacing w:before="0"/>
              <w:jc w:val="center"/>
              <w:rPr>
                <w:b/>
                <w:bCs/>
                <w:color w:val="808080"/>
              </w:rPr>
            </w:pPr>
            <w:r>
              <w:rPr>
                <w:b/>
                <w:bCs/>
                <w:color w:val="808080"/>
              </w:rPr>
              <w:t>LIGO Project – MS 18-34</w:t>
            </w:r>
          </w:p>
          <w:p w14:paraId="769C2011" w14:textId="77777777" w:rsidR="00FB1B59" w:rsidRPr="005F48B2" w:rsidRDefault="00FB1B59">
            <w:pPr>
              <w:pStyle w:val="PlainText"/>
              <w:spacing w:before="0"/>
              <w:jc w:val="center"/>
              <w:rPr>
                <w:b/>
                <w:bCs/>
                <w:color w:val="808080"/>
                <w:lang w:val="it-IT"/>
              </w:rPr>
            </w:pPr>
            <w:r w:rsidRPr="005F48B2">
              <w:rPr>
                <w:b/>
                <w:bCs/>
                <w:color w:val="808080"/>
                <w:lang w:val="it-IT"/>
              </w:rPr>
              <w:t>1200 E. California Blvd.</w:t>
            </w:r>
          </w:p>
          <w:p w14:paraId="5E873571" w14:textId="77777777" w:rsidR="00FB1B59" w:rsidRPr="005F48B2" w:rsidRDefault="00FB1B59">
            <w:pPr>
              <w:pStyle w:val="PlainText"/>
              <w:spacing w:before="0"/>
              <w:jc w:val="center"/>
              <w:rPr>
                <w:b/>
                <w:bCs/>
                <w:color w:val="808080"/>
                <w:lang w:val="it-IT"/>
              </w:rPr>
            </w:pPr>
            <w:r w:rsidRPr="005F48B2">
              <w:rPr>
                <w:b/>
                <w:bCs/>
                <w:color w:val="808080"/>
                <w:lang w:val="it-IT"/>
              </w:rPr>
              <w:t>Pasadena, CA 91125</w:t>
            </w:r>
          </w:p>
          <w:p w14:paraId="041A2744" w14:textId="77777777" w:rsidR="00FB1B59" w:rsidRPr="00A16CA3" w:rsidRDefault="00FB1B59">
            <w:pPr>
              <w:pStyle w:val="PlainText"/>
              <w:spacing w:before="0"/>
              <w:jc w:val="center"/>
              <w:rPr>
                <w:color w:val="808080"/>
              </w:rPr>
            </w:pPr>
            <w:r w:rsidRPr="00A16CA3">
              <w:rPr>
                <w:color w:val="808080"/>
              </w:rPr>
              <w:t>Phone (626) 395-2129</w:t>
            </w:r>
          </w:p>
          <w:p w14:paraId="7A610ECD" w14:textId="77777777" w:rsidR="00FB1B59" w:rsidRPr="00A16CA3" w:rsidRDefault="00FB1B59">
            <w:pPr>
              <w:pStyle w:val="PlainText"/>
              <w:spacing w:before="0"/>
              <w:jc w:val="center"/>
              <w:rPr>
                <w:color w:val="808080"/>
              </w:rPr>
            </w:pPr>
            <w:r w:rsidRPr="00A16CA3">
              <w:rPr>
                <w:color w:val="808080"/>
              </w:rPr>
              <w:t>Fax (626) 304-9834</w:t>
            </w:r>
          </w:p>
          <w:p w14:paraId="7881CA07" w14:textId="77777777" w:rsidR="00FB1B59" w:rsidRPr="00A16CA3" w:rsidRDefault="00FB1B59">
            <w:pPr>
              <w:pStyle w:val="PlainText"/>
              <w:spacing w:before="0"/>
              <w:jc w:val="center"/>
              <w:rPr>
                <w:color w:val="808080"/>
              </w:rPr>
            </w:pPr>
            <w:r w:rsidRPr="00A16CA3">
              <w:rPr>
                <w:color w:val="808080"/>
              </w:rPr>
              <w:t>E-mail: info@ligo.caltech.edu</w:t>
            </w:r>
          </w:p>
        </w:tc>
        <w:tc>
          <w:tcPr>
            <w:tcW w:w="4909" w:type="dxa"/>
          </w:tcPr>
          <w:p w14:paraId="26305C9D" w14:textId="77777777" w:rsidR="00FB1B59" w:rsidRDefault="00FB1B59">
            <w:pPr>
              <w:pStyle w:val="PlainText"/>
              <w:spacing w:before="0"/>
              <w:jc w:val="center"/>
              <w:rPr>
                <w:b/>
                <w:bCs/>
                <w:color w:val="808080"/>
              </w:rPr>
            </w:pPr>
            <w:r>
              <w:rPr>
                <w:b/>
                <w:bCs/>
                <w:color w:val="808080"/>
              </w:rPr>
              <w:t>Massachusetts Institute of Technology</w:t>
            </w:r>
          </w:p>
          <w:p w14:paraId="285DC66F" w14:textId="77777777" w:rsidR="00FB1B59" w:rsidRDefault="00FB1B59">
            <w:pPr>
              <w:pStyle w:val="PlainText"/>
              <w:spacing w:before="0"/>
              <w:jc w:val="center"/>
              <w:rPr>
                <w:b/>
                <w:bCs/>
                <w:color w:val="808080"/>
              </w:rPr>
            </w:pPr>
            <w:r>
              <w:rPr>
                <w:b/>
                <w:bCs/>
                <w:color w:val="808080"/>
              </w:rPr>
              <w:t>LIGO Project – NW22-295</w:t>
            </w:r>
          </w:p>
          <w:p w14:paraId="30924A2C" w14:textId="77777777" w:rsidR="00FB1B59" w:rsidRDefault="00FB1B59">
            <w:pPr>
              <w:pStyle w:val="PlainText"/>
              <w:spacing w:before="0"/>
              <w:jc w:val="center"/>
              <w:rPr>
                <w:b/>
                <w:bCs/>
                <w:color w:val="808080"/>
              </w:rPr>
            </w:pPr>
            <w:r>
              <w:rPr>
                <w:b/>
                <w:bCs/>
                <w:color w:val="808080"/>
              </w:rPr>
              <w:t>185 Albany St</w:t>
            </w:r>
          </w:p>
          <w:p w14:paraId="77343626" w14:textId="77777777" w:rsidR="00FB1B59" w:rsidRDefault="00FB1B59">
            <w:pPr>
              <w:pStyle w:val="PlainText"/>
              <w:spacing w:before="0"/>
              <w:jc w:val="center"/>
              <w:rPr>
                <w:b/>
                <w:bCs/>
                <w:color w:val="808080"/>
              </w:rPr>
            </w:pPr>
            <w:r>
              <w:rPr>
                <w:b/>
                <w:bCs/>
                <w:color w:val="808080"/>
              </w:rPr>
              <w:t>Cambridge, MA 02139</w:t>
            </w:r>
          </w:p>
          <w:p w14:paraId="290E4A8A" w14:textId="77777777" w:rsidR="00FB1B59" w:rsidRDefault="00FB1B59">
            <w:pPr>
              <w:pStyle w:val="PlainText"/>
              <w:spacing w:before="0"/>
              <w:jc w:val="center"/>
              <w:rPr>
                <w:color w:val="808080"/>
              </w:rPr>
            </w:pPr>
            <w:r>
              <w:rPr>
                <w:color w:val="808080"/>
              </w:rPr>
              <w:t>Phone (617) 253-4824</w:t>
            </w:r>
          </w:p>
          <w:p w14:paraId="244E57FE" w14:textId="77777777" w:rsidR="00FB1B59" w:rsidRDefault="00FB1B59">
            <w:pPr>
              <w:pStyle w:val="PlainText"/>
              <w:spacing w:before="0"/>
              <w:jc w:val="center"/>
              <w:rPr>
                <w:color w:val="808080"/>
              </w:rPr>
            </w:pPr>
            <w:r>
              <w:rPr>
                <w:color w:val="808080"/>
              </w:rPr>
              <w:t>Fax (617) 253-7014</w:t>
            </w:r>
          </w:p>
          <w:p w14:paraId="6C92662A" w14:textId="77777777" w:rsidR="00FB1B59" w:rsidRDefault="00FB1B59">
            <w:pPr>
              <w:pStyle w:val="PlainText"/>
              <w:spacing w:before="0"/>
              <w:jc w:val="center"/>
              <w:rPr>
                <w:color w:val="808080"/>
              </w:rPr>
            </w:pPr>
            <w:r>
              <w:rPr>
                <w:color w:val="808080"/>
              </w:rPr>
              <w:t>E-mail: info@ligo.mit.edu</w:t>
            </w:r>
          </w:p>
        </w:tc>
      </w:tr>
      <w:tr w:rsidR="00FB1B59" w14:paraId="541F833C" w14:textId="77777777">
        <w:tc>
          <w:tcPr>
            <w:tcW w:w="4909" w:type="dxa"/>
          </w:tcPr>
          <w:p w14:paraId="3B2FA4E0" w14:textId="77777777" w:rsidR="00FB1B59" w:rsidRDefault="00FB1B59">
            <w:pPr>
              <w:pStyle w:val="PlainText"/>
              <w:spacing w:before="0"/>
              <w:jc w:val="center"/>
              <w:rPr>
                <w:b/>
                <w:bCs/>
                <w:color w:val="808080"/>
              </w:rPr>
            </w:pPr>
          </w:p>
          <w:p w14:paraId="2DD4F94C" w14:textId="77777777" w:rsidR="00FB1B59" w:rsidRDefault="00FB1B59">
            <w:pPr>
              <w:pStyle w:val="PlainText"/>
              <w:spacing w:before="0"/>
              <w:jc w:val="center"/>
              <w:rPr>
                <w:b/>
                <w:bCs/>
                <w:color w:val="808080"/>
              </w:rPr>
            </w:pPr>
            <w:r>
              <w:rPr>
                <w:b/>
                <w:bCs/>
                <w:color w:val="808080"/>
              </w:rPr>
              <w:t>LIGO Hanford Observatory</w:t>
            </w:r>
          </w:p>
          <w:p w14:paraId="5E6C9CDE" w14:textId="77777777" w:rsidR="00FB1B59" w:rsidRDefault="00FB1B59" w:rsidP="00FB3DAE">
            <w:pPr>
              <w:pStyle w:val="PlainText"/>
              <w:spacing w:before="0"/>
              <w:jc w:val="center"/>
              <w:rPr>
                <w:b/>
                <w:bCs/>
                <w:color w:val="808080"/>
              </w:rPr>
            </w:pPr>
            <w:r>
              <w:rPr>
                <w:b/>
                <w:bCs/>
                <w:color w:val="808080"/>
              </w:rPr>
              <w:t>P.O. Box 159</w:t>
            </w:r>
          </w:p>
          <w:p w14:paraId="07CADCB3" w14:textId="77777777" w:rsidR="00FB1B59" w:rsidRDefault="00FB1B59">
            <w:pPr>
              <w:pStyle w:val="PlainText"/>
              <w:spacing w:before="0"/>
              <w:jc w:val="center"/>
              <w:rPr>
                <w:b/>
                <w:bCs/>
                <w:color w:val="808080"/>
              </w:rPr>
            </w:pPr>
            <w:r>
              <w:rPr>
                <w:b/>
                <w:bCs/>
                <w:color w:val="808080"/>
              </w:rPr>
              <w:t>Richland WA 99352</w:t>
            </w:r>
          </w:p>
          <w:p w14:paraId="0C816FA9" w14:textId="77777777" w:rsidR="00FB1B59" w:rsidRDefault="00FB1B59">
            <w:pPr>
              <w:pStyle w:val="PlainText"/>
              <w:spacing w:before="0"/>
              <w:jc w:val="center"/>
              <w:rPr>
                <w:color w:val="808080"/>
              </w:rPr>
            </w:pPr>
            <w:r>
              <w:rPr>
                <w:color w:val="808080"/>
              </w:rPr>
              <w:t>Phone 509-372-8106</w:t>
            </w:r>
          </w:p>
          <w:p w14:paraId="5CA55573" w14:textId="77777777" w:rsidR="00FB1B59" w:rsidRDefault="00FB1B59">
            <w:pPr>
              <w:pStyle w:val="PlainText"/>
              <w:spacing w:before="0"/>
              <w:jc w:val="center"/>
              <w:rPr>
                <w:b/>
                <w:bCs/>
                <w:color w:val="808080"/>
              </w:rPr>
            </w:pPr>
            <w:r>
              <w:rPr>
                <w:color w:val="808080"/>
              </w:rPr>
              <w:t>Fax 509-372-8137</w:t>
            </w:r>
          </w:p>
        </w:tc>
        <w:tc>
          <w:tcPr>
            <w:tcW w:w="4909" w:type="dxa"/>
          </w:tcPr>
          <w:p w14:paraId="4DCBF950" w14:textId="77777777" w:rsidR="00FB1B59" w:rsidRDefault="00FB1B59">
            <w:pPr>
              <w:pStyle w:val="PlainText"/>
              <w:spacing w:before="0"/>
              <w:jc w:val="center"/>
              <w:rPr>
                <w:b/>
                <w:bCs/>
                <w:color w:val="808080"/>
              </w:rPr>
            </w:pPr>
          </w:p>
          <w:p w14:paraId="2528586B" w14:textId="77777777" w:rsidR="00FB1B59" w:rsidRDefault="00FB1B59">
            <w:pPr>
              <w:pStyle w:val="PlainText"/>
              <w:spacing w:before="0"/>
              <w:jc w:val="center"/>
              <w:rPr>
                <w:b/>
                <w:bCs/>
                <w:color w:val="808080"/>
              </w:rPr>
            </w:pPr>
            <w:r>
              <w:rPr>
                <w:b/>
                <w:bCs/>
                <w:color w:val="808080"/>
              </w:rPr>
              <w:t>LIGO Livingston Observatory</w:t>
            </w:r>
          </w:p>
          <w:p w14:paraId="17D4B8FF" w14:textId="77777777" w:rsidR="00FB1B59" w:rsidRDefault="00FB1B59">
            <w:pPr>
              <w:pStyle w:val="PlainText"/>
              <w:spacing w:before="0"/>
              <w:jc w:val="center"/>
              <w:rPr>
                <w:b/>
                <w:bCs/>
                <w:color w:val="808080"/>
              </w:rPr>
            </w:pPr>
            <w:r>
              <w:rPr>
                <w:b/>
                <w:bCs/>
                <w:color w:val="808080"/>
              </w:rPr>
              <w:t>P.O. Box 940</w:t>
            </w:r>
          </w:p>
          <w:p w14:paraId="56C9C3FC" w14:textId="77777777" w:rsidR="00FB1B59" w:rsidRDefault="00FB1B59">
            <w:pPr>
              <w:pStyle w:val="PlainText"/>
              <w:spacing w:before="0"/>
              <w:jc w:val="center"/>
              <w:rPr>
                <w:b/>
                <w:bCs/>
                <w:color w:val="808080"/>
              </w:rPr>
            </w:pPr>
            <w:r>
              <w:rPr>
                <w:b/>
                <w:bCs/>
                <w:color w:val="808080"/>
              </w:rPr>
              <w:t>Livingston, LA  70754</w:t>
            </w:r>
          </w:p>
          <w:p w14:paraId="157080FA" w14:textId="77777777" w:rsidR="00FB1B59" w:rsidRDefault="00FB1B59">
            <w:pPr>
              <w:pStyle w:val="PlainText"/>
              <w:spacing w:before="0"/>
              <w:jc w:val="center"/>
              <w:rPr>
                <w:color w:val="808080"/>
              </w:rPr>
            </w:pPr>
            <w:r>
              <w:rPr>
                <w:color w:val="808080"/>
              </w:rPr>
              <w:t>Phone 225-686-3100</w:t>
            </w:r>
          </w:p>
          <w:p w14:paraId="1810B5EA" w14:textId="77777777" w:rsidR="00FB1B59" w:rsidRDefault="00FB1B59">
            <w:pPr>
              <w:pStyle w:val="PlainText"/>
              <w:spacing w:before="0"/>
              <w:jc w:val="center"/>
              <w:rPr>
                <w:b/>
                <w:bCs/>
                <w:color w:val="808080"/>
              </w:rPr>
            </w:pPr>
            <w:r>
              <w:rPr>
                <w:color w:val="808080"/>
              </w:rPr>
              <w:t>Fax 225-686-7189</w:t>
            </w:r>
          </w:p>
        </w:tc>
      </w:tr>
    </w:tbl>
    <w:p w14:paraId="57FA7B99" w14:textId="77777777" w:rsidR="00FB1B59" w:rsidRDefault="00FB1B59">
      <w:pPr>
        <w:pStyle w:val="PlainText"/>
        <w:jc w:val="center"/>
      </w:pPr>
      <w:r>
        <w:t>http://www.ligo.caltech.edu/</w:t>
      </w:r>
    </w:p>
    <w:p w14:paraId="3F647E83" w14:textId="77777777" w:rsidR="00573672" w:rsidRDefault="00573672">
      <w:pPr>
        <w:spacing w:before="0"/>
        <w:jc w:val="left"/>
        <w:rPr>
          <w:rFonts w:ascii="Calibri" w:hAnsi="Calibri"/>
          <w:sz w:val="22"/>
        </w:rPr>
      </w:pPr>
      <w:r>
        <w:br w:type="page"/>
      </w:r>
    </w:p>
    <w:p w14:paraId="0D5650F1" w14:textId="77777777" w:rsidR="00573672" w:rsidRPr="00573672" w:rsidRDefault="00573672" w:rsidP="00C51F6D">
      <w:pPr>
        <w:pStyle w:val="Heading1"/>
      </w:pPr>
      <w:r w:rsidRPr="00573672">
        <w:lastRenderedPageBreak/>
        <w:t>Executive Summary</w:t>
      </w:r>
    </w:p>
    <w:p w14:paraId="436BEFDD" w14:textId="77777777" w:rsidR="00007DF4" w:rsidRPr="0015110D" w:rsidRDefault="00007DF4" w:rsidP="0015110D">
      <w:r w:rsidRPr="0015110D">
        <w:t>We propose to upgrade our EtherCAT slow controls system to TwinCAT 3.1. TwinCAT 3.1 allows us to take full advantage of modern computer hardware and software: It supports multi-core processors and 64-bit operating systems</w:t>
      </w:r>
      <w:r w:rsidR="00486A2C" w:rsidRPr="0015110D">
        <w:t xml:space="preserve">. </w:t>
      </w:r>
      <w:r w:rsidR="002A327C" w:rsidRPr="0015110D">
        <w:t xml:space="preserve">With the vacuum system already on TwinCAT 3.1, this should simplify </w:t>
      </w:r>
      <w:r w:rsidR="00A72B1E" w:rsidRPr="0015110D">
        <w:t>long-term maintenance, and easily accommodate future upgrade needs.</w:t>
      </w:r>
    </w:p>
    <w:p w14:paraId="1EDDC19C" w14:textId="197D76A5" w:rsidR="00486A2C" w:rsidRDefault="00486A2C" w:rsidP="0015110D">
      <w:r w:rsidRPr="0015110D">
        <w:t xml:space="preserve">At the same time, we propose to reduce the number of the slow controls computers for the main interferometer controls from three to one. </w:t>
      </w:r>
      <w:r w:rsidR="000C5E47" w:rsidRPr="0015110D">
        <w:t xml:space="preserve">This will keep the costs down and </w:t>
      </w:r>
      <w:r w:rsidR="008C5236">
        <w:t>reduce the communication dependencies between different EtherCAT computer systems.</w:t>
      </w:r>
      <w:r w:rsidRPr="0015110D">
        <w:t xml:space="preserve"> </w:t>
      </w:r>
      <w:r w:rsidR="008C5236" w:rsidRPr="008C5236">
        <w:t>We would like to move from one large network ring topology to multiple smaller EtherCAT network interfaces that are working independently.</w:t>
      </w:r>
    </w:p>
    <w:p w14:paraId="7D3D5A66" w14:textId="107BBA9B" w:rsidR="00781196" w:rsidRPr="0015110D" w:rsidRDefault="00781196" w:rsidP="0015110D">
      <w:r>
        <w:t>We also propose to add separate dedicated smaller CPUs for the rotation stages. This allows for independent diagnostics.</w:t>
      </w:r>
    </w:p>
    <w:p w14:paraId="3C594CB9" w14:textId="77777777" w:rsidR="00787C50" w:rsidRDefault="00787C50" w:rsidP="00787C50">
      <w:pPr>
        <w:pStyle w:val="Heading1"/>
      </w:pPr>
      <w:r>
        <w:t>Software Infrastructure</w:t>
      </w:r>
    </w:p>
    <w:p w14:paraId="48E120E2" w14:textId="77777777" w:rsidR="001D33D5" w:rsidRDefault="001D33D5" w:rsidP="0015110D">
      <w:r>
        <w:t xml:space="preserve">The current TwinCAT 2.11 software has several limitations that are </w:t>
      </w:r>
      <w:r w:rsidR="00D237E0">
        <w:t xml:space="preserve">restricting our current setup. It runs on a 32-bit operating system inside a single thread. It cannot take advantage of modern multi-core processors nor </w:t>
      </w:r>
      <w:r w:rsidR="00891833">
        <w:t>any</w:t>
      </w:r>
      <w:r w:rsidR="00D237E0">
        <w:t xml:space="preserve"> memory beyond 2</w:t>
      </w:r>
      <w:r w:rsidR="00891833">
        <w:t xml:space="preserve"> </w:t>
      </w:r>
      <w:r w:rsidR="00D237E0">
        <w:t xml:space="preserve">GB. It is also limited to </w:t>
      </w:r>
      <w:r w:rsidR="00891833">
        <w:t>four programmable logic controllers (PLCs)</w:t>
      </w:r>
      <w:r w:rsidR="006B0A62">
        <w:t xml:space="preserve"> and requires a </w:t>
      </w:r>
      <w:proofErr w:type="gramStart"/>
      <w:r w:rsidR="006B0A62">
        <w:t>particular programming</w:t>
      </w:r>
      <w:proofErr w:type="gramEnd"/>
      <w:r w:rsidR="006B0A62">
        <w:t xml:space="preserve"> language referred to as structured text</w:t>
      </w:r>
      <w:r w:rsidR="00891833">
        <w:t>. We are using PLCs to compartmentalize different subsystems, and four is not enough. TwinCAT 3.1 runs on 64-bit operating systems</w:t>
      </w:r>
      <w:r w:rsidR="006B0A62">
        <w:t xml:space="preserve">, is multi-threaded, can take advantage of all available main memory, lifts the restriction on the number of PLCs, and supports C++ and </w:t>
      </w:r>
      <w:r w:rsidR="00201889">
        <w:t>Simulink</w:t>
      </w:r>
      <w:r w:rsidR="006B0A62">
        <w:t xml:space="preserve"> as additional programming languages.</w:t>
      </w:r>
      <w:r w:rsidR="00201889">
        <w:t xml:space="preserve"> However, we will </w:t>
      </w:r>
      <w:r w:rsidR="00201889" w:rsidRPr="00201889">
        <w:t xml:space="preserve">stay with </w:t>
      </w:r>
      <w:r w:rsidR="00201889">
        <w:t>structured text</w:t>
      </w:r>
      <w:r w:rsidR="00201889" w:rsidRPr="00201889">
        <w:t xml:space="preserve"> for the foreseeable fu</w:t>
      </w:r>
      <w:r w:rsidR="00DC2B6A">
        <w:t>ture, since there is a clear upgrade path from TwinCAT 2.11.</w:t>
      </w:r>
    </w:p>
    <w:p w14:paraId="7FB76978" w14:textId="77777777" w:rsidR="00F46F16" w:rsidRDefault="00F46F16" w:rsidP="0015110D">
      <w:r>
        <w:t xml:space="preserve">We have begun to upgrade our PLC libraries to TwinCAT 3.1. This process is straight forward, but for </w:t>
      </w:r>
      <w:r w:rsidR="00956AC9">
        <w:t>now,</w:t>
      </w:r>
      <w:r>
        <w:t xml:space="preserve"> we </w:t>
      </w:r>
      <w:r w:rsidR="00956AC9">
        <w:t>need</w:t>
      </w:r>
      <w:r>
        <w:t xml:space="preserve"> to support both old and new versions simultaneously. We would like to move </w:t>
      </w:r>
      <w:proofErr w:type="gramStart"/>
      <w:r>
        <w:t>all of</w:t>
      </w:r>
      <w:proofErr w:type="gramEnd"/>
      <w:r>
        <w:t xml:space="preserve"> our TwinCAT slow controls software to the new version to reduce the required support.</w:t>
      </w:r>
      <w:r w:rsidR="00E25C64">
        <w:t xml:space="preserve"> From an operator or commissioner’s point of vie</w:t>
      </w:r>
      <w:r w:rsidR="007E15A8">
        <w:t>w</w:t>
      </w:r>
      <w:r w:rsidR="00E25C64">
        <w:t xml:space="preserve">, </w:t>
      </w:r>
      <w:r w:rsidR="009833E7">
        <w:t>this change will be transparent. The TwinCAT-to-EPICS interface required a few small updates</w:t>
      </w:r>
      <w:r w:rsidR="00354556">
        <w:t>. It</w:t>
      </w:r>
      <w:r w:rsidR="009833E7">
        <w:t xml:space="preserve"> will look </w:t>
      </w:r>
      <w:r w:rsidR="0003008E">
        <w:t>the</w:t>
      </w:r>
      <w:r w:rsidR="009833E7">
        <w:t xml:space="preserve"> same</w:t>
      </w:r>
      <w:r w:rsidR="0015775E">
        <w:t xml:space="preserve"> from the EPICS side</w:t>
      </w:r>
      <w:r w:rsidR="009833E7">
        <w:t>.</w:t>
      </w:r>
    </w:p>
    <w:p w14:paraId="3A562BF6" w14:textId="77777777" w:rsidR="0043029F" w:rsidRDefault="008F4186" w:rsidP="00C51F6D">
      <w:pPr>
        <w:pStyle w:val="Heading1"/>
      </w:pPr>
      <w:r>
        <w:t xml:space="preserve">Network </w:t>
      </w:r>
      <w:r w:rsidR="00D93AE9">
        <w:t>T</w:t>
      </w:r>
      <w:r w:rsidR="00B901F5">
        <w:t>opology</w:t>
      </w:r>
    </w:p>
    <w:p w14:paraId="16E15084" w14:textId="77777777" w:rsidR="006D4871" w:rsidRDefault="006D4871" w:rsidP="0015110D">
      <w:r>
        <w:t xml:space="preserve">Currently, the EtherCAT network topology for the main interferometer controls consists of three rings. The largest one originating in the corner, going to each end station, the electronics equipment room </w:t>
      </w:r>
      <w:r w:rsidR="005031B8">
        <w:t xml:space="preserve">(CER) </w:t>
      </w:r>
      <w:r>
        <w:t>and the main experimental area</w:t>
      </w:r>
      <w:r w:rsidR="005031B8">
        <w:t xml:space="preserve"> (</w:t>
      </w:r>
      <w:r w:rsidR="006443D6">
        <w:t>L</w:t>
      </w:r>
      <w:r w:rsidR="005031B8">
        <w:t>VEA)</w:t>
      </w:r>
      <w:r>
        <w:t xml:space="preserve">. </w:t>
      </w:r>
      <w:r w:rsidR="006443D6">
        <w:t xml:space="preserve">Two smaller rings originate in the end stations covering their experimental areas (VEAs). </w:t>
      </w:r>
      <w:r w:rsidR="001015E4">
        <w:t>We use s</w:t>
      </w:r>
      <w:r w:rsidR="006443D6">
        <w:t>pecial bridge terminals to communicate between the corner and end station EtherCAT rings.</w:t>
      </w:r>
    </w:p>
    <w:p w14:paraId="5CDA8AC1" w14:textId="77777777" w:rsidR="00CF4CF6" w:rsidRDefault="00CF4CF6" w:rsidP="0015110D">
      <w:r>
        <w:t xml:space="preserve">We propose to move to a star topology, which allows us to separate subsystems into their own branches. This star topology would originate in the corner and implement branches for each end station, the ISC sub system, the squeezer subsystem, the thermal compensation and laser subsystems, and </w:t>
      </w:r>
      <w:r w:rsidR="00FB4B54">
        <w:t>an auxiliary chain, see Figure 1.</w:t>
      </w:r>
    </w:p>
    <w:p w14:paraId="4709EDCC" w14:textId="77777777" w:rsidR="00FB4B54" w:rsidRDefault="00FB4B54" w:rsidP="0015110D">
      <w:r>
        <w:rPr>
          <w:noProof/>
        </w:rPr>
        <w:lastRenderedPageBreak/>
        <w:drawing>
          <wp:inline distT="0" distB="0" distL="0" distR="0" wp14:anchorId="4AB8AB0B" wp14:editId="29869FE3">
            <wp:extent cx="6089650" cy="51987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5198745"/>
                    </a:xfrm>
                    <a:prstGeom prst="rect">
                      <a:avLst/>
                    </a:prstGeom>
                  </pic:spPr>
                </pic:pic>
              </a:graphicData>
            </a:graphic>
          </wp:inline>
        </w:drawing>
      </w:r>
    </w:p>
    <w:p w14:paraId="62F48339" w14:textId="77777777" w:rsidR="009852BC" w:rsidRPr="009330DC" w:rsidRDefault="009852BC" w:rsidP="00777872">
      <w:pPr>
        <w:jc w:val="center"/>
        <w:rPr>
          <w:rFonts w:ascii="Arial" w:hAnsi="Arial" w:cs="Arial"/>
        </w:rPr>
      </w:pPr>
      <w:r w:rsidRPr="009330DC">
        <w:rPr>
          <w:rFonts w:ascii="Arial" w:hAnsi="Arial" w:cs="Arial"/>
        </w:rPr>
        <w:t>Figure 1: New star topology for the main EtherCAT system.</w:t>
      </w:r>
    </w:p>
    <w:p w14:paraId="1BA1005B" w14:textId="77777777" w:rsidR="00781196" w:rsidRDefault="00781196" w:rsidP="0015110D"/>
    <w:p w14:paraId="5F890966" w14:textId="19A89141" w:rsidR="00781196" w:rsidRDefault="00781196" w:rsidP="0015110D">
      <w:r>
        <w:t>The rotation stages with their computers will be separate.</w:t>
      </w:r>
    </w:p>
    <w:p w14:paraId="15F1D32F" w14:textId="77777777" w:rsidR="00B901F5" w:rsidRDefault="00D93AE9" w:rsidP="00CF4CF6">
      <w:pPr>
        <w:pStyle w:val="Heading1"/>
      </w:pPr>
      <w:r>
        <w:t xml:space="preserve">Computer </w:t>
      </w:r>
      <w:r w:rsidR="00787C50">
        <w:t>Infrastructure</w:t>
      </w:r>
    </w:p>
    <w:p w14:paraId="793F77AE" w14:textId="77777777" w:rsidR="00B878BF" w:rsidRPr="00B878BF" w:rsidRDefault="0015110D" w:rsidP="0015110D">
      <w:r>
        <w:t xml:space="preserve">One of the problems with the current custom computers running TwinCAT 2.11 is that Beckhoff does not support them. We propose to acquire a pre-configured computer from Beckhoff that comes with support. </w:t>
      </w:r>
      <w:r w:rsidR="003A1B51">
        <w:t xml:space="preserve">To keep the costs </w:t>
      </w:r>
      <w:proofErr w:type="gramStart"/>
      <w:r w:rsidR="003A1B51">
        <w:t>reasonable</w:t>
      </w:r>
      <w:proofErr w:type="gramEnd"/>
      <w:r w:rsidR="003A1B51">
        <w:t xml:space="preserve"> we also propose to combine the three current machines. This should decrease maintenance and increase reliability</w:t>
      </w:r>
      <w:r w:rsidR="00D837C2">
        <w:t xml:space="preserve"> at the same time.</w:t>
      </w:r>
    </w:p>
    <w:p w14:paraId="12DF449A" w14:textId="77777777" w:rsidR="00AE7D61" w:rsidRDefault="00AE7D61">
      <w:pPr>
        <w:spacing w:before="0"/>
        <w:jc w:val="left"/>
        <w:rPr>
          <w:rFonts w:ascii="Arial" w:hAnsi="Arial"/>
          <w:b/>
          <w:kern w:val="28"/>
          <w:sz w:val="28"/>
        </w:rPr>
      </w:pPr>
      <w:r>
        <w:br w:type="page"/>
      </w:r>
    </w:p>
    <w:p w14:paraId="1A577B20" w14:textId="77777777" w:rsidR="00D237E0" w:rsidRDefault="00D237E0" w:rsidP="00891833">
      <w:pPr>
        <w:pStyle w:val="Heading1"/>
      </w:pPr>
      <w:r>
        <w:lastRenderedPageBreak/>
        <w:t>Upgrade Plan</w:t>
      </w:r>
    </w:p>
    <w:p w14:paraId="291B306D" w14:textId="77777777" w:rsidR="002B3962" w:rsidRDefault="002B3962" w:rsidP="002B3962">
      <w:r>
        <w:t xml:space="preserve">The upgrade </w:t>
      </w:r>
      <w:r w:rsidR="00665089">
        <w:t>can be</w:t>
      </w:r>
      <w:r>
        <w:t xml:space="preserve"> divided into </w:t>
      </w:r>
      <w:r w:rsidR="00801C93">
        <w:t>three</w:t>
      </w:r>
      <w:r>
        <w:t xml:space="preserve"> steps:</w:t>
      </w:r>
    </w:p>
    <w:p w14:paraId="131D891C" w14:textId="77777777" w:rsidR="002B3962" w:rsidRDefault="00AE7D61" w:rsidP="002B3962">
      <w:pPr>
        <w:pStyle w:val="ListParagraph"/>
        <w:numPr>
          <w:ilvl w:val="0"/>
          <w:numId w:val="45"/>
        </w:numPr>
      </w:pPr>
      <w:r>
        <w:t>Partially u</w:t>
      </w:r>
      <w:r w:rsidR="002B3962">
        <w:t xml:space="preserve">pgrade the network topology with the current system. This will </w:t>
      </w:r>
      <w:r>
        <w:t xml:space="preserve">not </w:t>
      </w:r>
      <w:r w:rsidR="002B3962">
        <w:t xml:space="preserve">eliminate the end station </w:t>
      </w:r>
      <w:r w:rsidR="00021FEA">
        <w:t xml:space="preserve">TwinCAT </w:t>
      </w:r>
      <w:r w:rsidR="002B3962">
        <w:t xml:space="preserve">computers. It </w:t>
      </w:r>
      <w:r w:rsidR="00AD215C">
        <w:t>will require</w:t>
      </w:r>
      <w:r w:rsidR="002B3962">
        <w:t xml:space="preserve"> changes to the EtherCAT chassis that interface the old and new fiber r</w:t>
      </w:r>
      <w:r w:rsidR="00A41D01">
        <w:t>uns, as well as some fiber terminals and boxes.</w:t>
      </w:r>
      <w:r w:rsidR="00685D50">
        <w:t xml:space="preserve"> It will require two new fiber runs to from the MSR to the CER.</w:t>
      </w:r>
    </w:p>
    <w:p w14:paraId="6F21C3E5" w14:textId="77777777" w:rsidR="00801C93" w:rsidRDefault="002B3962" w:rsidP="00AE7D61">
      <w:pPr>
        <w:pStyle w:val="ListParagraph"/>
        <w:numPr>
          <w:ilvl w:val="0"/>
          <w:numId w:val="45"/>
        </w:numPr>
      </w:pPr>
      <w:r>
        <w:t xml:space="preserve">Upgrade the computer in </w:t>
      </w:r>
      <w:r w:rsidR="00685D50">
        <w:t xml:space="preserve">the MSR to the new Beckhoff sourced </w:t>
      </w:r>
      <w:r w:rsidR="00217C26">
        <w:t>unit, which</w:t>
      </w:r>
      <w:r w:rsidR="0076136E">
        <w:t xml:space="preserve"> is</w:t>
      </w:r>
      <w:r w:rsidR="00685D50">
        <w:t xml:space="preserve"> running TwinCAT 3.1</w:t>
      </w:r>
      <w:r w:rsidR="00DE7087">
        <w:t>.</w:t>
      </w:r>
      <w:r w:rsidR="00AE7D61">
        <w:t xml:space="preserve"> </w:t>
      </w:r>
    </w:p>
    <w:p w14:paraId="7D652864" w14:textId="77777777" w:rsidR="002B3962" w:rsidRDefault="00CB6A50" w:rsidP="00AE7D61">
      <w:pPr>
        <w:pStyle w:val="ListParagraph"/>
        <w:numPr>
          <w:ilvl w:val="0"/>
          <w:numId w:val="45"/>
        </w:numPr>
      </w:pPr>
      <w:r>
        <w:t>E</w:t>
      </w:r>
      <w:r w:rsidR="00AE7D61">
        <w:t>liminate the end station TwinCAT computers.</w:t>
      </w:r>
      <w:r w:rsidR="003D1B42">
        <w:t xml:space="preserve"> This requires </w:t>
      </w:r>
      <w:r w:rsidR="00387C8A">
        <w:t xml:space="preserve">the corner station computer to connect to </w:t>
      </w:r>
      <w:r w:rsidR="003D1B42">
        <w:t>the single-mode fibers directly, and to connect the two rails within the end link chassis in series.</w:t>
      </w:r>
    </w:p>
    <w:p w14:paraId="2CCB7C71" w14:textId="77777777" w:rsidR="003F51A7" w:rsidRPr="002B3962" w:rsidRDefault="003F51A7" w:rsidP="003F51A7">
      <w:r>
        <w:t xml:space="preserve">After </w:t>
      </w:r>
      <w:r w:rsidR="004F7562">
        <w:t xml:space="preserve">the completion of </w:t>
      </w:r>
      <w:r>
        <w:t>both upgrade steps, we can retire the TwinCAT 2.11 software and switch support to TwinCAT 3.1</w:t>
      </w:r>
    </w:p>
    <w:p w14:paraId="1571B520" w14:textId="77777777" w:rsidR="006F6E1E" w:rsidRDefault="006F6E1E" w:rsidP="006F6E1E">
      <w:pPr>
        <w:pStyle w:val="Heading1"/>
      </w:pPr>
      <w:r>
        <w:t>Cost</w:t>
      </w:r>
      <w:r w:rsidR="00F252AE">
        <w:t xml:space="preserve"> Estimate</w:t>
      </w:r>
      <w:r>
        <w:t>s</w:t>
      </w:r>
    </w:p>
    <w:p w14:paraId="463E3756" w14:textId="7D1CB544" w:rsidR="00E50F43" w:rsidRDefault="00E50F43" w:rsidP="00B77CDD">
      <w:pPr>
        <w:spacing w:after="240"/>
      </w:pPr>
      <w:r>
        <w:t>The costs below are per detector</w:t>
      </w:r>
      <w:r w:rsidR="00B77CDD">
        <w:t xml:space="preserve"> and does include spares</w:t>
      </w:r>
      <w:r>
        <w:t>.</w:t>
      </w:r>
    </w:p>
    <w:tbl>
      <w:tblPr>
        <w:tblStyle w:val="TableGrid"/>
        <w:tblW w:w="0" w:type="auto"/>
        <w:tblLook w:val="04A0" w:firstRow="1" w:lastRow="0" w:firstColumn="1" w:lastColumn="0" w:noHBand="0" w:noVBand="1"/>
      </w:tblPr>
      <w:tblGrid>
        <w:gridCol w:w="994"/>
        <w:gridCol w:w="1826"/>
        <w:gridCol w:w="4285"/>
        <w:gridCol w:w="1284"/>
        <w:gridCol w:w="1125"/>
      </w:tblGrid>
      <w:tr w:rsidR="00F82CFF" w14:paraId="610298C9" w14:textId="77777777" w:rsidTr="00F82CFF">
        <w:tc>
          <w:tcPr>
            <w:tcW w:w="994" w:type="dxa"/>
          </w:tcPr>
          <w:p w14:paraId="5BDDA63F" w14:textId="77777777" w:rsidR="00F82CFF" w:rsidRPr="008622C6" w:rsidRDefault="00F82CFF" w:rsidP="00F82CFF">
            <w:pPr>
              <w:spacing w:after="120"/>
              <w:jc w:val="right"/>
              <w:rPr>
                <w:rFonts w:ascii="Arial" w:hAnsi="Arial" w:cs="Arial"/>
              </w:rPr>
            </w:pPr>
            <w:r>
              <w:rPr>
                <w:rFonts w:ascii="Arial" w:hAnsi="Arial" w:cs="Arial"/>
              </w:rPr>
              <w:t>Qty.</w:t>
            </w:r>
          </w:p>
        </w:tc>
        <w:tc>
          <w:tcPr>
            <w:tcW w:w="1826" w:type="dxa"/>
          </w:tcPr>
          <w:p w14:paraId="613FAE14" w14:textId="77777777" w:rsidR="00F82CFF" w:rsidRPr="008622C6" w:rsidRDefault="00F82CFF" w:rsidP="00F82CFF">
            <w:pPr>
              <w:spacing w:after="120"/>
              <w:jc w:val="left"/>
              <w:rPr>
                <w:rFonts w:ascii="Arial" w:hAnsi="Arial" w:cs="Arial"/>
              </w:rPr>
            </w:pPr>
            <w:r>
              <w:rPr>
                <w:rFonts w:ascii="Arial" w:hAnsi="Arial" w:cs="Arial"/>
              </w:rPr>
              <w:t>Item</w:t>
            </w:r>
          </w:p>
        </w:tc>
        <w:tc>
          <w:tcPr>
            <w:tcW w:w="4285" w:type="dxa"/>
          </w:tcPr>
          <w:p w14:paraId="63062462" w14:textId="77777777" w:rsidR="00F82CFF" w:rsidRPr="008622C6" w:rsidRDefault="00F82CFF" w:rsidP="00F82CFF">
            <w:pPr>
              <w:spacing w:after="120"/>
              <w:jc w:val="left"/>
              <w:rPr>
                <w:rFonts w:ascii="Arial" w:hAnsi="Arial" w:cs="Arial"/>
              </w:rPr>
            </w:pPr>
            <w:r>
              <w:rPr>
                <w:rFonts w:ascii="Arial" w:hAnsi="Arial" w:cs="Arial"/>
              </w:rPr>
              <w:t>Description</w:t>
            </w:r>
          </w:p>
        </w:tc>
        <w:tc>
          <w:tcPr>
            <w:tcW w:w="1284" w:type="dxa"/>
          </w:tcPr>
          <w:p w14:paraId="7DAEABC0" w14:textId="77777777" w:rsidR="00F82CFF" w:rsidRPr="008622C6" w:rsidRDefault="00F82CFF" w:rsidP="00F82CFF">
            <w:pPr>
              <w:spacing w:after="120"/>
              <w:jc w:val="right"/>
              <w:rPr>
                <w:rFonts w:ascii="Arial" w:hAnsi="Arial" w:cs="Arial"/>
              </w:rPr>
            </w:pPr>
            <w:r>
              <w:rPr>
                <w:rFonts w:ascii="Arial" w:hAnsi="Arial" w:cs="Arial"/>
              </w:rPr>
              <w:t>Estimate</w:t>
            </w:r>
          </w:p>
        </w:tc>
        <w:tc>
          <w:tcPr>
            <w:tcW w:w="1125" w:type="dxa"/>
          </w:tcPr>
          <w:p w14:paraId="30FFD106" w14:textId="77777777" w:rsidR="00F82CFF" w:rsidRDefault="00F82CFF" w:rsidP="00F82CFF">
            <w:pPr>
              <w:spacing w:after="120"/>
              <w:jc w:val="right"/>
              <w:rPr>
                <w:rFonts w:ascii="Arial" w:hAnsi="Arial" w:cs="Arial"/>
              </w:rPr>
            </w:pPr>
            <w:r>
              <w:rPr>
                <w:rFonts w:ascii="Arial" w:hAnsi="Arial" w:cs="Arial"/>
              </w:rPr>
              <w:t>Ext.</w:t>
            </w:r>
          </w:p>
        </w:tc>
      </w:tr>
      <w:tr w:rsidR="00F82CFF" w14:paraId="61605407" w14:textId="77777777" w:rsidTr="00F82CFF">
        <w:tc>
          <w:tcPr>
            <w:tcW w:w="994" w:type="dxa"/>
          </w:tcPr>
          <w:p w14:paraId="3BAC4D68" w14:textId="5C881BC9" w:rsidR="00F82CFF" w:rsidRPr="008622C6" w:rsidRDefault="00E072FC" w:rsidP="00F82CFF">
            <w:pPr>
              <w:spacing w:after="120"/>
              <w:jc w:val="right"/>
              <w:rPr>
                <w:rFonts w:ascii="Arial" w:hAnsi="Arial" w:cs="Arial"/>
              </w:rPr>
            </w:pPr>
            <w:r>
              <w:rPr>
                <w:rFonts w:ascii="Arial" w:hAnsi="Arial" w:cs="Arial"/>
              </w:rPr>
              <w:t>2</w:t>
            </w:r>
          </w:p>
        </w:tc>
        <w:tc>
          <w:tcPr>
            <w:tcW w:w="1826" w:type="dxa"/>
          </w:tcPr>
          <w:p w14:paraId="5C226852" w14:textId="77777777" w:rsidR="00F82CFF" w:rsidRPr="008622C6" w:rsidRDefault="00FE1035" w:rsidP="00F82CFF">
            <w:pPr>
              <w:spacing w:after="120"/>
              <w:jc w:val="left"/>
              <w:rPr>
                <w:rFonts w:ascii="Arial" w:hAnsi="Arial" w:cs="Arial"/>
              </w:rPr>
            </w:pPr>
            <w:r w:rsidRPr="00FE1035">
              <w:rPr>
                <w:rFonts w:ascii="Arial" w:hAnsi="Arial" w:cs="Arial"/>
              </w:rPr>
              <w:t>C5102-0060</w:t>
            </w:r>
            <w:r>
              <w:rPr>
                <w:rFonts w:ascii="Arial" w:hAnsi="Arial" w:cs="Arial"/>
              </w:rPr>
              <w:br/>
            </w:r>
            <w:r w:rsidRPr="00FE1035">
              <w:rPr>
                <w:rFonts w:ascii="Arial" w:hAnsi="Arial" w:cs="Arial"/>
              </w:rPr>
              <w:t>C9900-C561</w:t>
            </w:r>
            <w:r>
              <w:rPr>
                <w:rFonts w:ascii="Arial" w:hAnsi="Arial" w:cs="Arial"/>
              </w:rPr>
              <w:br/>
            </w:r>
            <w:r w:rsidRPr="00FE1035">
              <w:rPr>
                <w:rFonts w:ascii="Arial" w:hAnsi="Arial" w:cs="Arial"/>
              </w:rPr>
              <w:t>C9900-R260</w:t>
            </w:r>
            <w:r>
              <w:rPr>
                <w:rFonts w:ascii="Arial" w:hAnsi="Arial" w:cs="Arial"/>
              </w:rPr>
              <w:br/>
            </w:r>
            <w:r w:rsidRPr="00FE1035">
              <w:rPr>
                <w:rFonts w:ascii="Arial" w:hAnsi="Arial" w:cs="Arial"/>
              </w:rPr>
              <w:t>C9900-M711</w:t>
            </w:r>
            <w:r>
              <w:rPr>
                <w:rFonts w:ascii="Arial" w:hAnsi="Arial" w:cs="Arial"/>
              </w:rPr>
              <w:br/>
            </w:r>
            <w:r w:rsidRPr="00FE1035">
              <w:rPr>
                <w:rFonts w:ascii="Arial" w:hAnsi="Arial" w:cs="Arial"/>
              </w:rPr>
              <w:t>FC9022</w:t>
            </w:r>
            <w:r>
              <w:rPr>
                <w:rFonts w:ascii="Arial" w:hAnsi="Arial" w:cs="Arial"/>
              </w:rPr>
              <w:br/>
            </w:r>
            <w:r w:rsidRPr="00FE1035">
              <w:rPr>
                <w:rFonts w:ascii="Arial" w:hAnsi="Arial" w:cs="Arial"/>
              </w:rPr>
              <w:t>TC1210-0080</w:t>
            </w:r>
            <w:r>
              <w:rPr>
                <w:rFonts w:ascii="Arial" w:hAnsi="Arial" w:cs="Arial"/>
              </w:rPr>
              <w:br/>
            </w:r>
            <w:r w:rsidRPr="00FE1035">
              <w:rPr>
                <w:rFonts w:ascii="Arial" w:hAnsi="Arial" w:cs="Arial"/>
              </w:rPr>
              <w:t>TF6340-0080</w:t>
            </w:r>
            <w:r>
              <w:rPr>
                <w:rFonts w:ascii="Arial" w:hAnsi="Arial" w:cs="Arial"/>
              </w:rPr>
              <w:br/>
            </w:r>
            <w:r w:rsidRPr="00FE1035">
              <w:rPr>
                <w:rFonts w:ascii="Arial" w:hAnsi="Arial" w:cs="Arial"/>
              </w:rPr>
              <w:t>TF5000-0080</w:t>
            </w:r>
          </w:p>
        </w:tc>
        <w:tc>
          <w:tcPr>
            <w:tcW w:w="4285" w:type="dxa"/>
          </w:tcPr>
          <w:p w14:paraId="2F08EDF4" w14:textId="77777777" w:rsidR="00FE1035" w:rsidRPr="008622C6" w:rsidRDefault="008A2BF6" w:rsidP="00FE1035">
            <w:pPr>
              <w:spacing w:after="120"/>
              <w:jc w:val="left"/>
              <w:rPr>
                <w:rFonts w:ascii="Arial" w:hAnsi="Arial" w:cs="Arial"/>
              </w:rPr>
            </w:pPr>
            <w:r>
              <w:rPr>
                <w:rFonts w:ascii="Arial" w:hAnsi="Arial" w:cs="Arial"/>
              </w:rPr>
              <w:t>Computer w/ TwinCAT 3.1</w:t>
            </w:r>
            <w:r w:rsidR="00FE1035">
              <w:rPr>
                <w:rFonts w:ascii="Arial" w:hAnsi="Arial" w:cs="Arial"/>
              </w:rPr>
              <w:br/>
            </w:r>
            <w:r w:rsidR="00FE1035" w:rsidRPr="00FE1035">
              <w:rPr>
                <w:rFonts w:ascii="Arial" w:hAnsi="Arial" w:cs="Arial"/>
              </w:rPr>
              <w:t>Window 10 64 IO enterprise</w:t>
            </w:r>
          </w:p>
        </w:tc>
        <w:tc>
          <w:tcPr>
            <w:tcW w:w="1284" w:type="dxa"/>
          </w:tcPr>
          <w:p w14:paraId="049D6D28" w14:textId="77777777" w:rsidR="00F82CFF" w:rsidRPr="008622C6" w:rsidRDefault="005738E2" w:rsidP="00F82CFF">
            <w:pPr>
              <w:spacing w:after="120"/>
              <w:jc w:val="right"/>
              <w:rPr>
                <w:rFonts w:ascii="Arial" w:hAnsi="Arial" w:cs="Arial"/>
              </w:rPr>
            </w:pPr>
            <w:r>
              <w:rPr>
                <w:rFonts w:ascii="Arial" w:hAnsi="Arial" w:cs="Arial"/>
              </w:rPr>
              <w:t>7</w:t>
            </w:r>
            <w:r w:rsidR="00B77CDD">
              <w:rPr>
                <w:rFonts w:ascii="Arial" w:hAnsi="Arial" w:cs="Arial"/>
              </w:rPr>
              <w:t>000</w:t>
            </w:r>
          </w:p>
        </w:tc>
        <w:tc>
          <w:tcPr>
            <w:tcW w:w="1125" w:type="dxa"/>
          </w:tcPr>
          <w:p w14:paraId="26713DE5" w14:textId="6104117F" w:rsidR="00F82CFF" w:rsidRPr="008622C6" w:rsidRDefault="00E072FC" w:rsidP="00F82CFF">
            <w:pPr>
              <w:spacing w:after="120"/>
              <w:jc w:val="right"/>
              <w:rPr>
                <w:rFonts w:ascii="Arial" w:hAnsi="Arial" w:cs="Arial"/>
              </w:rPr>
            </w:pPr>
            <w:r>
              <w:rPr>
                <w:rFonts w:ascii="Arial" w:hAnsi="Arial" w:cs="Arial"/>
              </w:rPr>
              <w:t>14</w:t>
            </w:r>
            <w:r w:rsidR="004978F4">
              <w:rPr>
                <w:rFonts w:ascii="Arial" w:hAnsi="Arial" w:cs="Arial"/>
              </w:rPr>
              <w:t>000</w:t>
            </w:r>
          </w:p>
        </w:tc>
      </w:tr>
      <w:tr w:rsidR="00E072FC" w14:paraId="58838F50" w14:textId="77777777" w:rsidTr="00F82CFF">
        <w:tc>
          <w:tcPr>
            <w:tcW w:w="994" w:type="dxa"/>
          </w:tcPr>
          <w:p w14:paraId="16C1716B" w14:textId="4A1DDB82" w:rsidR="00E072FC" w:rsidRDefault="00E072FC" w:rsidP="00F82CFF">
            <w:pPr>
              <w:spacing w:after="120"/>
              <w:jc w:val="right"/>
              <w:rPr>
                <w:rFonts w:ascii="Arial" w:hAnsi="Arial" w:cs="Arial"/>
              </w:rPr>
            </w:pPr>
            <w:r>
              <w:rPr>
                <w:rFonts w:ascii="Arial" w:hAnsi="Arial" w:cs="Arial"/>
              </w:rPr>
              <w:t>2</w:t>
            </w:r>
          </w:p>
        </w:tc>
        <w:tc>
          <w:tcPr>
            <w:tcW w:w="1826" w:type="dxa"/>
          </w:tcPr>
          <w:p w14:paraId="1628C3A8" w14:textId="52F144C3" w:rsidR="00E072FC" w:rsidRPr="00FE1035" w:rsidRDefault="00E072FC" w:rsidP="00F82CFF">
            <w:pPr>
              <w:spacing w:after="120"/>
              <w:jc w:val="left"/>
              <w:rPr>
                <w:rFonts w:ascii="Arial" w:hAnsi="Arial" w:cs="Arial"/>
              </w:rPr>
            </w:pPr>
            <w:r>
              <w:rPr>
                <w:rFonts w:ascii="Arial" w:hAnsi="Arial" w:cs="Arial"/>
              </w:rPr>
              <w:t>TBD</w:t>
            </w:r>
          </w:p>
        </w:tc>
        <w:tc>
          <w:tcPr>
            <w:tcW w:w="4285" w:type="dxa"/>
          </w:tcPr>
          <w:p w14:paraId="34E6B6D5" w14:textId="178271B2" w:rsidR="00E072FC" w:rsidRDefault="00E072FC" w:rsidP="00FE1035">
            <w:pPr>
              <w:spacing w:after="120"/>
              <w:jc w:val="left"/>
              <w:rPr>
                <w:rFonts w:ascii="Arial" w:hAnsi="Arial" w:cs="Arial"/>
              </w:rPr>
            </w:pPr>
            <w:r>
              <w:rPr>
                <w:rFonts w:ascii="Arial" w:hAnsi="Arial" w:cs="Arial"/>
              </w:rPr>
              <w:t>Smaller size dedicated computer</w:t>
            </w:r>
          </w:p>
        </w:tc>
        <w:tc>
          <w:tcPr>
            <w:tcW w:w="1284" w:type="dxa"/>
          </w:tcPr>
          <w:p w14:paraId="1200E911" w14:textId="0B1A6696" w:rsidR="00E072FC" w:rsidRDefault="00D554F6" w:rsidP="00F82CFF">
            <w:pPr>
              <w:spacing w:after="120"/>
              <w:jc w:val="right"/>
              <w:rPr>
                <w:rFonts w:ascii="Arial" w:hAnsi="Arial" w:cs="Arial"/>
              </w:rPr>
            </w:pPr>
            <w:r>
              <w:rPr>
                <w:rFonts w:ascii="Arial" w:hAnsi="Arial" w:cs="Arial"/>
              </w:rPr>
              <w:t>15</w:t>
            </w:r>
            <w:r w:rsidR="00E072FC">
              <w:rPr>
                <w:rFonts w:ascii="Arial" w:hAnsi="Arial" w:cs="Arial"/>
              </w:rPr>
              <w:t>00</w:t>
            </w:r>
          </w:p>
        </w:tc>
        <w:tc>
          <w:tcPr>
            <w:tcW w:w="1125" w:type="dxa"/>
          </w:tcPr>
          <w:p w14:paraId="47F9E2EE" w14:textId="01642B9A" w:rsidR="00E072FC" w:rsidRDefault="00D554F6" w:rsidP="00F82CFF">
            <w:pPr>
              <w:spacing w:after="120"/>
              <w:jc w:val="right"/>
              <w:rPr>
                <w:rFonts w:ascii="Arial" w:hAnsi="Arial" w:cs="Arial"/>
              </w:rPr>
            </w:pPr>
            <w:r>
              <w:rPr>
                <w:rFonts w:ascii="Arial" w:hAnsi="Arial" w:cs="Arial"/>
              </w:rPr>
              <w:t>3</w:t>
            </w:r>
            <w:r w:rsidR="00E072FC">
              <w:rPr>
                <w:rFonts w:ascii="Arial" w:hAnsi="Arial" w:cs="Arial"/>
              </w:rPr>
              <w:t>000</w:t>
            </w:r>
          </w:p>
        </w:tc>
      </w:tr>
      <w:tr w:rsidR="00F82CFF" w14:paraId="7AA9BD06" w14:textId="77777777" w:rsidTr="00F82CFF">
        <w:tc>
          <w:tcPr>
            <w:tcW w:w="994" w:type="dxa"/>
          </w:tcPr>
          <w:p w14:paraId="47848894" w14:textId="23492A61" w:rsidR="00F82CFF" w:rsidRPr="008622C6" w:rsidRDefault="00E072FC" w:rsidP="00F82CFF">
            <w:pPr>
              <w:spacing w:after="120"/>
              <w:jc w:val="right"/>
              <w:rPr>
                <w:rFonts w:ascii="Arial" w:hAnsi="Arial" w:cs="Arial"/>
              </w:rPr>
            </w:pPr>
            <w:r>
              <w:rPr>
                <w:rFonts w:ascii="Arial" w:hAnsi="Arial" w:cs="Arial"/>
              </w:rPr>
              <w:t>3</w:t>
            </w:r>
          </w:p>
        </w:tc>
        <w:tc>
          <w:tcPr>
            <w:tcW w:w="1826" w:type="dxa"/>
          </w:tcPr>
          <w:p w14:paraId="42786F28" w14:textId="77777777" w:rsidR="00F82CFF" w:rsidRPr="008622C6" w:rsidRDefault="00F82CFF" w:rsidP="00F82CFF">
            <w:pPr>
              <w:spacing w:after="120"/>
              <w:jc w:val="left"/>
              <w:rPr>
                <w:rFonts w:ascii="Arial" w:hAnsi="Arial" w:cs="Arial"/>
              </w:rPr>
            </w:pPr>
            <w:r w:rsidRPr="00F82CFF">
              <w:rPr>
                <w:rFonts w:ascii="Arial" w:hAnsi="Arial" w:cs="Arial"/>
              </w:rPr>
              <w:t>CU1521-0010</w:t>
            </w:r>
          </w:p>
        </w:tc>
        <w:tc>
          <w:tcPr>
            <w:tcW w:w="4285" w:type="dxa"/>
          </w:tcPr>
          <w:p w14:paraId="214D1FC2" w14:textId="77777777" w:rsidR="00F82CFF" w:rsidRPr="008622C6" w:rsidRDefault="00F82CFF" w:rsidP="00F82CFF">
            <w:pPr>
              <w:spacing w:after="120"/>
              <w:jc w:val="left"/>
              <w:rPr>
                <w:rFonts w:ascii="Arial" w:hAnsi="Arial" w:cs="Arial"/>
              </w:rPr>
            </w:pPr>
            <w:r w:rsidRPr="00F82CFF">
              <w:rPr>
                <w:rFonts w:ascii="Arial" w:hAnsi="Arial" w:cs="Arial"/>
              </w:rPr>
              <w:t>EtherCAT media converter single</w:t>
            </w:r>
            <w:r w:rsidR="00E419E2">
              <w:rPr>
                <w:rFonts w:ascii="Arial" w:hAnsi="Arial" w:cs="Arial"/>
              </w:rPr>
              <w:t xml:space="preserve"> </w:t>
            </w:r>
            <w:r w:rsidRPr="00F82CFF">
              <w:rPr>
                <w:rFonts w:ascii="Arial" w:hAnsi="Arial" w:cs="Arial"/>
              </w:rPr>
              <w:t>mode fiber optic</w:t>
            </w:r>
          </w:p>
        </w:tc>
        <w:tc>
          <w:tcPr>
            <w:tcW w:w="1284" w:type="dxa"/>
          </w:tcPr>
          <w:p w14:paraId="26C8213B" w14:textId="77777777" w:rsidR="00F82CFF" w:rsidRPr="008622C6" w:rsidRDefault="00F82CFF" w:rsidP="00F82CFF">
            <w:pPr>
              <w:spacing w:after="120"/>
              <w:jc w:val="right"/>
              <w:rPr>
                <w:rFonts w:ascii="Arial" w:hAnsi="Arial" w:cs="Arial"/>
              </w:rPr>
            </w:pPr>
            <w:r>
              <w:rPr>
                <w:rFonts w:ascii="Arial" w:hAnsi="Arial" w:cs="Arial"/>
              </w:rPr>
              <w:t>365</w:t>
            </w:r>
          </w:p>
        </w:tc>
        <w:tc>
          <w:tcPr>
            <w:tcW w:w="1125" w:type="dxa"/>
          </w:tcPr>
          <w:p w14:paraId="66AFA069" w14:textId="2CBF61FD" w:rsidR="00F82CFF" w:rsidRPr="008622C6" w:rsidRDefault="00E072FC" w:rsidP="00F82CFF">
            <w:pPr>
              <w:spacing w:after="120"/>
              <w:jc w:val="right"/>
              <w:rPr>
                <w:rFonts w:ascii="Arial" w:hAnsi="Arial" w:cs="Arial"/>
              </w:rPr>
            </w:pPr>
            <w:r>
              <w:rPr>
                <w:rFonts w:ascii="Arial" w:hAnsi="Arial" w:cs="Arial"/>
              </w:rPr>
              <w:t>1095</w:t>
            </w:r>
          </w:p>
        </w:tc>
      </w:tr>
      <w:tr w:rsidR="00F82CFF" w14:paraId="17CD1C60" w14:textId="77777777" w:rsidTr="00F82CFF">
        <w:tc>
          <w:tcPr>
            <w:tcW w:w="994" w:type="dxa"/>
          </w:tcPr>
          <w:p w14:paraId="5CC58A10" w14:textId="1583817E" w:rsidR="00F82CFF" w:rsidRPr="008622C6" w:rsidRDefault="00E072FC" w:rsidP="00F82CFF">
            <w:pPr>
              <w:spacing w:after="120"/>
              <w:jc w:val="right"/>
              <w:rPr>
                <w:rFonts w:ascii="Arial" w:hAnsi="Arial" w:cs="Arial"/>
              </w:rPr>
            </w:pPr>
            <w:r>
              <w:rPr>
                <w:rFonts w:ascii="Arial" w:hAnsi="Arial" w:cs="Arial"/>
              </w:rPr>
              <w:t>5</w:t>
            </w:r>
          </w:p>
        </w:tc>
        <w:tc>
          <w:tcPr>
            <w:tcW w:w="1826" w:type="dxa"/>
          </w:tcPr>
          <w:p w14:paraId="214E5D75" w14:textId="77777777" w:rsidR="00F82CFF" w:rsidRPr="008622C6" w:rsidRDefault="00F82CFF" w:rsidP="00F82CFF">
            <w:pPr>
              <w:spacing w:after="120"/>
              <w:jc w:val="left"/>
              <w:rPr>
                <w:rFonts w:ascii="Arial" w:hAnsi="Arial" w:cs="Arial"/>
              </w:rPr>
            </w:pPr>
            <w:r w:rsidRPr="00F82CFF">
              <w:rPr>
                <w:rFonts w:ascii="Arial" w:hAnsi="Arial" w:cs="Arial"/>
              </w:rPr>
              <w:t>CU1521-0000</w:t>
            </w:r>
          </w:p>
        </w:tc>
        <w:tc>
          <w:tcPr>
            <w:tcW w:w="4285" w:type="dxa"/>
          </w:tcPr>
          <w:p w14:paraId="56641C95" w14:textId="77777777" w:rsidR="00F82CFF" w:rsidRPr="008622C6" w:rsidRDefault="00F82CFF" w:rsidP="00F82CFF">
            <w:pPr>
              <w:spacing w:after="120"/>
              <w:jc w:val="left"/>
              <w:rPr>
                <w:rFonts w:ascii="Arial" w:hAnsi="Arial" w:cs="Arial"/>
              </w:rPr>
            </w:pPr>
            <w:r w:rsidRPr="00F82CFF">
              <w:rPr>
                <w:rFonts w:ascii="Arial" w:hAnsi="Arial" w:cs="Arial"/>
              </w:rPr>
              <w:t>EtherCAT media converter multimode fiber optic</w:t>
            </w:r>
          </w:p>
        </w:tc>
        <w:tc>
          <w:tcPr>
            <w:tcW w:w="1284" w:type="dxa"/>
          </w:tcPr>
          <w:p w14:paraId="59A95A1E" w14:textId="77777777" w:rsidR="00F82CFF" w:rsidRPr="008622C6" w:rsidRDefault="00F82CFF" w:rsidP="00F82CFF">
            <w:pPr>
              <w:spacing w:after="120"/>
              <w:jc w:val="right"/>
              <w:rPr>
                <w:rFonts w:ascii="Arial" w:hAnsi="Arial" w:cs="Arial"/>
              </w:rPr>
            </w:pPr>
            <w:r>
              <w:rPr>
                <w:rFonts w:ascii="Arial" w:hAnsi="Arial" w:cs="Arial"/>
              </w:rPr>
              <w:t>273</w:t>
            </w:r>
          </w:p>
        </w:tc>
        <w:tc>
          <w:tcPr>
            <w:tcW w:w="1125" w:type="dxa"/>
          </w:tcPr>
          <w:p w14:paraId="50F31082" w14:textId="0DF07BF9" w:rsidR="00F82CFF" w:rsidRDefault="00E072FC" w:rsidP="00F82CFF">
            <w:pPr>
              <w:spacing w:after="120"/>
              <w:jc w:val="right"/>
              <w:rPr>
                <w:rFonts w:ascii="Arial" w:hAnsi="Arial" w:cs="Arial"/>
              </w:rPr>
            </w:pPr>
            <w:r>
              <w:rPr>
                <w:rFonts w:ascii="Arial" w:hAnsi="Arial" w:cs="Arial"/>
              </w:rPr>
              <w:t>1365</w:t>
            </w:r>
          </w:p>
        </w:tc>
      </w:tr>
      <w:tr w:rsidR="00C653EE" w14:paraId="143078B9" w14:textId="77777777" w:rsidTr="00F82CFF">
        <w:tc>
          <w:tcPr>
            <w:tcW w:w="994" w:type="dxa"/>
          </w:tcPr>
          <w:p w14:paraId="48E0859C" w14:textId="77777777" w:rsidR="00C653EE" w:rsidRDefault="00C653EE" w:rsidP="00F82CFF">
            <w:pPr>
              <w:spacing w:after="120"/>
              <w:jc w:val="right"/>
              <w:rPr>
                <w:rFonts w:ascii="Arial" w:hAnsi="Arial" w:cs="Arial"/>
              </w:rPr>
            </w:pPr>
            <w:r>
              <w:rPr>
                <w:rFonts w:ascii="Arial" w:hAnsi="Arial" w:cs="Arial"/>
              </w:rPr>
              <w:t>3</w:t>
            </w:r>
          </w:p>
        </w:tc>
        <w:tc>
          <w:tcPr>
            <w:tcW w:w="1826" w:type="dxa"/>
          </w:tcPr>
          <w:p w14:paraId="68729BC5" w14:textId="77777777" w:rsidR="00C653EE" w:rsidRPr="00A41478" w:rsidRDefault="005834D3" w:rsidP="00F82CFF">
            <w:pPr>
              <w:spacing w:after="120"/>
              <w:jc w:val="left"/>
              <w:rPr>
                <w:rFonts w:ascii="Arial" w:hAnsi="Arial" w:cs="Arial"/>
              </w:rPr>
            </w:pPr>
            <w:r>
              <w:rPr>
                <w:rFonts w:ascii="Arial" w:hAnsi="Arial" w:cs="Arial"/>
              </w:rPr>
              <w:t>CU1128</w:t>
            </w:r>
          </w:p>
        </w:tc>
        <w:tc>
          <w:tcPr>
            <w:tcW w:w="4285" w:type="dxa"/>
          </w:tcPr>
          <w:p w14:paraId="0FCEB634" w14:textId="77777777" w:rsidR="00C653EE" w:rsidRPr="00A41478" w:rsidRDefault="00060288" w:rsidP="00F82CFF">
            <w:pPr>
              <w:spacing w:after="120"/>
              <w:jc w:val="left"/>
              <w:rPr>
                <w:rFonts w:ascii="Arial" w:hAnsi="Arial" w:cs="Arial"/>
              </w:rPr>
            </w:pPr>
            <w:r w:rsidRPr="00060288">
              <w:rPr>
                <w:rFonts w:ascii="Arial" w:hAnsi="Arial" w:cs="Arial"/>
              </w:rPr>
              <w:t>EtherCAT junction</w:t>
            </w:r>
            <w:r>
              <w:rPr>
                <w:rFonts w:ascii="Arial" w:hAnsi="Arial" w:cs="Arial"/>
              </w:rPr>
              <w:t xml:space="preserve"> with 8 ports</w:t>
            </w:r>
          </w:p>
        </w:tc>
        <w:tc>
          <w:tcPr>
            <w:tcW w:w="1284" w:type="dxa"/>
          </w:tcPr>
          <w:p w14:paraId="08309002" w14:textId="77777777" w:rsidR="00C653EE" w:rsidRPr="00A41478" w:rsidRDefault="00C653EE" w:rsidP="00F82CFF">
            <w:pPr>
              <w:spacing w:after="120"/>
              <w:jc w:val="right"/>
              <w:rPr>
                <w:rFonts w:ascii="Arial" w:hAnsi="Arial" w:cs="Arial"/>
              </w:rPr>
            </w:pPr>
          </w:p>
        </w:tc>
        <w:tc>
          <w:tcPr>
            <w:tcW w:w="1125" w:type="dxa"/>
          </w:tcPr>
          <w:p w14:paraId="4A114929" w14:textId="77777777" w:rsidR="00C653EE" w:rsidRDefault="00197495" w:rsidP="00F82CFF">
            <w:pPr>
              <w:spacing w:after="120"/>
              <w:jc w:val="right"/>
              <w:rPr>
                <w:rFonts w:ascii="Arial" w:hAnsi="Arial" w:cs="Arial"/>
              </w:rPr>
            </w:pPr>
            <w:r>
              <w:rPr>
                <w:rFonts w:ascii="Arial" w:hAnsi="Arial" w:cs="Arial"/>
              </w:rPr>
              <w:t>~1000</w:t>
            </w:r>
          </w:p>
        </w:tc>
      </w:tr>
      <w:tr w:rsidR="00F82CFF" w14:paraId="235A4EE7" w14:textId="77777777" w:rsidTr="00F82CFF">
        <w:tc>
          <w:tcPr>
            <w:tcW w:w="994" w:type="dxa"/>
          </w:tcPr>
          <w:p w14:paraId="229407FB" w14:textId="77777777" w:rsidR="00F82CFF" w:rsidRPr="008622C6" w:rsidRDefault="00F82CFF" w:rsidP="00F82CFF">
            <w:pPr>
              <w:spacing w:after="120"/>
              <w:jc w:val="right"/>
              <w:rPr>
                <w:rFonts w:ascii="Arial" w:hAnsi="Arial" w:cs="Arial"/>
              </w:rPr>
            </w:pPr>
          </w:p>
        </w:tc>
        <w:tc>
          <w:tcPr>
            <w:tcW w:w="1826" w:type="dxa"/>
          </w:tcPr>
          <w:p w14:paraId="2402F98F" w14:textId="77777777" w:rsidR="00F82CFF" w:rsidRPr="008622C6" w:rsidRDefault="00F82CFF" w:rsidP="00F82CFF">
            <w:pPr>
              <w:spacing w:after="120"/>
              <w:jc w:val="left"/>
              <w:rPr>
                <w:rFonts w:ascii="Arial" w:hAnsi="Arial" w:cs="Arial"/>
              </w:rPr>
            </w:pPr>
          </w:p>
        </w:tc>
        <w:tc>
          <w:tcPr>
            <w:tcW w:w="4285" w:type="dxa"/>
          </w:tcPr>
          <w:p w14:paraId="212CA078" w14:textId="77777777" w:rsidR="00F82CFF" w:rsidRPr="008622C6" w:rsidRDefault="00A41478" w:rsidP="00F82CFF">
            <w:pPr>
              <w:spacing w:after="120"/>
              <w:jc w:val="left"/>
              <w:rPr>
                <w:rFonts w:ascii="Arial" w:hAnsi="Arial" w:cs="Arial"/>
              </w:rPr>
            </w:pPr>
            <w:r>
              <w:rPr>
                <w:rFonts w:ascii="Arial" w:hAnsi="Arial" w:cs="Arial"/>
              </w:rPr>
              <w:t>Miscellaneous: fibers, cables, enclosures</w:t>
            </w:r>
            <w:r w:rsidR="00D55AB0">
              <w:rPr>
                <w:rFonts w:ascii="Arial" w:hAnsi="Arial" w:cs="Arial"/>
              </w:rPr>
              <w:t>, etc</w:t>
            </w:r>
            <w:r w:rsidR="0028065C">
              <w:rPr>
                <w:rFonts w:ascii="Arial" w:hAnsi="Arial" w:cs="Arial"/>
              </w:rPr>
              <w:t>.</w:t>
            </w:r>
          </w:p>
        </w:tc>
        <w:tc>
          <w:tcPr>
            <w:tcW w:w="1284" w:type="dxa"/>
          </w:tcPr>
          <w:p w14:paraId="4814D3F1" w14:textId="61196FCC" w:rsidR="00F82CFF" w:rsidRPr="008622C6" w:rsidRDefault="00B77CDD" w:rsidP="00F82CFF">
            <w:pPr>
              <w:spacing w:after="120"/>
              <w:jc w:val="right"/>
              <w:rPr>
                <w:rFonts w:ascii="Arial" w:hAnsi="Arial" w:cs="Arial"/>
              </w:rPr>
            </w:pPr>
            <w:r>
              <w:rPr>
                <w:rFonts w:ascii="Arial" w:hAnsi="Arial" w:cs="Arial"/>
              </w:rPr>
              <w:t>1</w:t>
            </w:r>
            <w:r w:rsidR="00E072FC">
              <w:rPr>
                <w:rFonts w:ascii="Arial" w:hAnsi="Arial" w:cs="Arial"/>
              </w:rPr>
              <w:t>5</w:t>
            </w:r>
            <w:r>
              <w:rPr>
                <w:rFonts w:ascii="Arial" w:hAnsi="Arial" w:cs="Arial"/>
              </w:rPr>
              <w:t>00</w:t>
            </w:r>
          </w:p>
        </w:tc>
        <w:tc>
          <w:tcPr>
            <w:tcW w:w="1125" w:type="dxa"/>
          </w:tcPr>
          <w:p w14:paraId="62138ECE" w14:textId="43BB1FCF" w:rsidR="00F82CFF" w:rsidRPr="008622C6" w:rsidRDefault="004163A6" w:rsidP="00F82CFF">
            <w:pPr>
              <w:spacing w:after="120"/>
              <w:jc w:val="right"/>
              <w:rPr>
                <w:rFonts w:ascii="Arial" w:hAnsi="Arial" w:cs="Arial"/>
              </w:rPr>
            </w:pPr>
            <w:r>
              <w:rPr>
                <w:rFonts w:ascii="Arial" w:hAnsi="Arial" w:cs="Arial"/>
              </w:rPr>
              <w:t>1</w:t>
            </w:r>
            <w:r w:rsidR="00E072FC">
              <w:rPr>
                <w:rFonts w:ascii="Arial" w:hAnsi="Arial" w:cs="Arial"/>
              </w:rPr>
              <w:t>5</w:t>
            </w:r>
            <w:r>
              <w:rPr>
                <w:rFonts w:ascii="Arial" w:hAnsi="Arial" w:cs="Arial"/>
              </w:rPr>
              <w:t>00</w:t>
            </w:r>
          </w:p>
        </w:tc>
      </w:tr>
    </w:tbl>
    <w:p w14:paraId="5A91B421" w14:textId="77777777" w:rsidR="00871451" w:rsidRPr="00871451" w:rsidRDefault="004163A6" w:rsidP="00871451">
      <w:r>
        <w:t>The estimated costs for the first upgrade step are around $</w:t>
      </w:r>
      <w:r w:rsidR="00197495">
        <w:t>4</w:t>
      </w:r>
      <w:r>
        <w:t>000 per detector</w:t>
      </w:r>
      <w:r w:rsidR="00DE450B">
        <w:t>, whereas the second step adds</w:t>
      </w:r>
      <w:r w:rsidR="0087652C">
        <w:t xml:space="preserve"> about</w:t>
      </w:r>
      <w:r w:rsidR="005738E2">
        <w:t xml:space="preserve"> $7</w:t>
      </w:r>
      <w:r>
        <w:t>000 per detector.</w:t>
      </w:r>
    </w:p>
    <w:sectPr w:rsidR="00871451" w:rsidRPr="00871451" w:rsidSect="00951D3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325" w:bottom="1440" w:left="132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7803" w14:textId="77777777" w:rsidR="001346D8" w:rsidRDefault="001346D8">
      <w:r>
        <w:separator/>
      </w:r>
    </w:p>
  </w:endnote>
  <w:endnote w:type="continuationSeparator" w:id="0">
    <w:p w14:paraId="1DC37CBC" w14:textId="77777777" w:rsidR="001346D8" w:rsidRDefault="0013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FCE0" w14:textId="77777777" w:rsidR="00123503" w:rsidRDefault="002636D9">
    <w:pPr>
      <w:pStyle w:val="Footer"/>
      <w:framePr w:wrap="auto" w:vAnchor="text" w:hAnchor="margin" w:xAlign="right" w:y="1"/>
      <w:rPr>
        <w:rStyle w:val="PageNumber"/>
      </w:rPr>
    </w:pPr>
    <w:r>
      <w:rPr>
        <w:rStyle w:val="PageNumber"/>
      </w:rPr>
      <w:fldChar w:fldCharType="begin"/>
    </w:r>
    <w:r w:rsidR="00123503">
      <w:rPr>
        <w:rStyle w:val="PageNumber"/>
      </w:rPr>
      <w:instrText xml:space="preserve">PAGE  </w:instrText>
    </w:r>
    <w:r>
      <w:rPr>
        <w:rStyle w:val="PageNumber"/>
      </w:rPr>
      <w:fldChar w:fldCharType="end"/>
    </w:r>
  </w:p>
  <w:p w14:paraId="215406BA" w14:textId="77777777" w:rsidR="00123503" w:rsidRDefault="00123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E16D" w14:textId="77777777" w:rsidR="00123503" w:rsidRPr="00951D35" w:rsidRDefault="002636D9">
    <w:pPr>
      <w:pStyle w:val="Footer"/>
      <w:framePr w:wrap="auto" w:vAnchor="text" w:hAnchor="margin" w:xAlign="right" w:y="1"/>
      <w:jc w:val="center"/>
      <w:rPr>
        <w:rStyle w:val="PageNumber"/>
        <w:rFonts w:ascii="Calibri" w:hAnsi="Calibri" w:cs="Calibri"/>
        <w:sz w:val="20"/>
      </w:rPr>
    </w:pPr>
    <w:r w:rsidRPr="00951D35">
      <w:rPr>
        <w:rStyle w:val="PageNumber"/>
        <w:rFonts w:ascii="Calibri" w:hAnsi="Calibri" w:cs="Calibri"/>
        <w:sz w:val="20"/>
      </w:rPr>
      <w:fldChar w:fldCharType="begin"/>
    </w:r>
    <w:r w:rsidR="00123503" w:rsidRPr="00951D35">
      <w:rPr>
        <w:rStyle w:val="PageNumber"/>
        <w:rFonts w:ascii="Calibri" w:hAnsi="Calibri" w:cs="Calibri"/>
        <w:sz w:val="20"/>
      </w:rPr>
      <w:instrText xml:space="preserve">PAGE  </w:instrText>
    </w:r>
    <w:r w:rsidRPr="00951D35">
      <w:rPr>
        <w:rStyle w:val="PageNumber"/>
        <w:rFonts w:ascii="Calibri" w:hAnsi="Calibri" w:cs="Calibri"/>
        <w:sz w:val="20"/>
      </w:rPr>
      <w:fldChar w:fldCharType="separate"/>
    </w:r>
    <w:r w:rsidR="00DC2B6A">
      <w:rPr>
        <w:rStyle w:val="PageNumber"/>
        <w:rFonts w:ascii="Calibri" w:hAnsi="Calibri" w:cs="Calibri"/>
        <w:noProof/>
        <w:sz w:val="20"/>
      </w:rPr>
      <w:t>1</w:t>
    </w:r>
    <w:r w:rsidRPr="00951D35">
      <w:rPr>
        <w:rStyle w:val="PageNumber"/>
        <w:rFonts w:ascii="Calibri" w:hAnsi="Calibri" w:cs="Calibri"/>
        <w:sz w:val="20"/>
      </w:rPr>
      <w:fldChar w:fldCharType="end"/>
    </w:r>
  </w:p>
  <w:p w14:paraId="16FDE1A6" w14:textId="77777777" w:rsidR="00123503" w:rsidRDefault="001235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A04D" w14:textId="77777777" w:rsidR="000449A8" w:rsidRDefault="0004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E3F0" w14:textId="77777777" w:rsidR="001346D8" w:rsidRDefault="001346D8">
      <w:r>
        <w:separator/>
      </w:r>
    </w:p>
  </w:footnote>
  <w:footnote w:type="continuationSeparator" w:id="0">
    <w:p w14:paraId="0BB0F16A" w14:textId="77777777" w:rsidR="001346D8" w:rsidRDefault="0013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7779" w14:textId="77777777" w:rsidR="000449A8" w:rsidRDefault="0004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F931" w14:textId="4ED87D8C" w:rsidR="00123503" w:rsidRPr="00951D35" w:rsidRDefault="00573672">
    <w:pPr>
      <w:pStyle w:val="Header"/>
      <w:tabs>
        <w:tab w:val="clear" w:pos="4320"/>
        <w:tab w:val="center" w:pos="4680"/>
      </w:tabs>
      <w:jc w:val="left"/>
      <w:rPr>
        <w:rFonts w:ascii="Calibri" w:hAnsi="Calibri" w:cs="Calibri"/>
        <w:sz w:val="20"/>
      </w:rPr>
    </w:pPr>
    <w:r w:rsidRPr="00951D35">
      <w:rPr>
        <w:rFonts w:ascii="Calibri" w:hAnsi="Calibri" w:cs="Calibri"/>
        <w:b/>
        <w:bCs/>
        <w:iCs/>
        <w:sz w:val="20"/>
      </w:rPr>
      <w:t xml:space="preserve">Advanced </w:t>
    </w:r>
    <w:r w:rsidR="00123503" w:rsidRPr="00951D35">
      <w:rPr>
        <w:rFonts w:ascii="Calibri" w:hAnsi="Calibri" w:cs="Calibri"/>
        <w:b/>
        <w:bCs/>
        <w:iCs/>
        <w:sz w:val="20"/>
      </w:rPr>
      <w:t>LIGO</w:t>
    </w:r>
    <w:r w:rsidR="00123503" w:rsidRPr="00951D35">
      <w:rPr>
        <w:rFonts w:ascii="Calibri" w:hAnsi="Calibri" w:cs="Calibri"/>
        <w:sz w:val="20"/>
      </w:rPr>
      <w:tab/>
    </w:r>
    <w:r w:rsidR="00123503" w:rsidRPr="00951D35">
      <w:rPr>
        <w:rFonts w:ascii="Calibri" w:hAnsi="Calibri" w:cs="Calibri"/>
        <w:sz w:val="20"/>
      </w:rPr>
      <w:t>LIGO-</w:t>
    </w:r>
    <w:r w:rsidR="00D73892">
      <w:rPr>
        <w:rFonts w:ascii="Calibri" w:hAnsi="Calibri" w:cs="Calibri"/>
        <w:sz w:val="20"/>
      </w:rPr>
      <w:t>T</w:t>
    </w:r>
    <w:r w:rsidR="00780AB5">
      <w:rPr>
        <w:rFonts w:ascii="Calibri" w:hAnsi="Calibri" w:cs="Calibri"/>
        <w:sz w:val="20"/>
      </w:rPr>
      <w:t>1</w:t>
    </w:r>
    <w:r w:rsidR="00D73892">
      <w:rPr>
        <w:rFonts w:ascii="Calibri" w:hAnsi="Calibri" w:cs="Calibri"/>
        <w:sz w:val="20"/>
      </w:rPr>
      <w:t>7</w:t>
    </w:r>
    <w:r w:rsidR="008774E6" w:rsidRPr="00951D35">
      <w:rPr>
        <w:rFonts w:ascii="Calibri" w:hAnsi="Calibri" w:cs="Calibri"/>
        <w:sz w:val="20"/>
      </w:rPr>
      <w:t>00</w:t>
    </w:r>
    <w:r w:rsidR="005C7A99">
      <w:rPr>
        <w:rFonts w:ascii="Calibri" w:hAnsi="Calibri" w:cs="Calibri"/>
        <w:sz w:val="20"/>
      </w:rPr>
      <w:t>433</w:t>
    </w:r>
    <w:r w:rsidR="008774E6" w:rsidRPr="00951D35">
      <w:rPr>
        <w:rFonts w:ascii="Calibri" w:hAnsi="Calibri" w:cs="Calibri"/>
        <w:sz w:val="20"/>
      </w:rPr>
      <w:t>-v</w:t>
    </w:r>
    <w:r w:rsidR="000449A8">
      <w:rPr>
        <w:rFonts w:ascii="Calibri" w:hAnsi="Calibri" w:cs="Calibri"/>
        <w:sz w:val="20"/>
      </w:rPr>
      <w:t>2</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508E" w14:textId="77777777" w:rsidR="00123503" w:rsidRDefault="00123503">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0AAC763E" wp14:editId="1540E8D1">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3EAF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9CF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FE97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8064A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F45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EE02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C6F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15:restartNumberingAfterBreak="0">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15:restartNumberingAfterBreak="0">
    <w:nsid w:val="2D3639A9"/>
    <w:multiLevelType w:val="hybridMultilevel"/>
    <w:tmpl w:val="8604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4372DD5"/>
    <w:multiLevelType w:val="hybridMultilevel"/>
    <w:tmpl w:val="7AC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827BF4"/>
    <w:multiLevelType w:val="hybridMultilevel"/>
    <w:tmpl w:val="3C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6" w15:restartNumberingAfterBreak="0">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15:restartNumberingAfterBreak="0">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3" w15:restartNumberingAfterBreak="0">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9"/>
  </w:num>
  <w:num w:numId="4">
    <w:abstractNumId w:val="8"/>
  </w:num>
  <w:num w:numId="5">
    <w:abstractNumId w:val="3"/>
  </w:num>
  <w:num w:numId="6">
    <w:abstractNumId w:val="25"/>
  </w:num>
  <w:num w:numId="7">
    <w:abstractNumId w:val="10"/>
  </w:num>
  <w:num w:numId="8">
    <w:abstractNumId w:val="9"/>
  </w:num>
  <w:num w:numId="9">
    <w:abstractNumId w:val="11"/>
  </w:num>
  <w:num w:numId="10">
    <w:abstractNumId w:val="15"/>
  </w:num>
  <w:num w:numId="11">
    <w:abstractNumId w:val="23"/>
  </w:num>
  <w:num w:numId="12">
    <w:abstractNumId w:val="24"/>
  </w:num>
  <w:num w:numId="13">
    <w:abstractNumId w:val="3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6"/>
  </w:num>
  <w:num w:numId="18">
    <w:abstractNumId w:val="28"/>
  </w:num>
  <w:num w:numId="19">
    <w:abstractNumId w:val="21"/>
  </w:num>
  <w:num w:numId="20">
    <w:abstractNumId w:val="17"/>
  </w:num>
  <w:num w:numId="21">
    <w:abstractNumId w:val="17"/>
  </w:num>
  <w:num w:numId="22">
    <w:abstractNumId w:val="17"/>
  </w:num>
  <w:num w:numId="23">
    <w:abstractNumId w:val="17"/>
  </w:num>
  <w:num w:numId="24">
    <w:abstractNumId w:val="17"/>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7"/>
  </w:num>
  <w:num w:numId="26">
    <w:abstractNumId w:val="27"/>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32"/>
  </w:num>
  <w:num w:numId="28">
    <w:abstractNumId w:val="29"/>
  </w:num>
  <w:num w:numId="29">
    <w:abstractNumId w:val="18"/>
  </w:num>
  <w:num w:numId="30">
    <w:abstractNumId w:val="19"/>
  </w:num>
  <w:num w:numId="31">
    <w:abstractNumId w:val="14"/>
  </w:num>
  <w:num w:numId="32">
    <w:abstractNumId w:val="33"/>
  </w:num>
  <w:num w:numId="33">
    <w:abstractNumId w:val="13"/>
  </w:num>
  <w:num w:numId="34">
    <w:abstractNumId w:val="30"/>
  </w:num>
  <w:num w:numId="35">
    <w:abstractNumId w:val="34"/>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22"/>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589"/>
    <w:rsid w:val="00007DF4"/>
    <w:rsid w:val="00021FEA"/>
    <w:rsid w:val="0003008E"/>
    <w:rsid w:val="000311FE"/>
    <w:rsid w:val="000449A8"/>
    <w:rsid w:val="000543D6"/>
    <w:rsid w:val="00056F54"/>
    <w:rsid w:val="00060288"/>
    <w:rsid w:val="00061AF1"/>
    <w:rsid w:val="00067D5B"/>
    <w:rsid w:val="00070FD1"/>
    <w:rsid w:val="00083F70"/>
    <w:rsid w:val="00084661"/>
    <w:rsid w:val="00086EBF"/>
    <w:rsid w:val="000917BA"/>
    <w:rsid w:val="00094826"/>
    <w:rsid w:val="00096389"/>
    <w:rsid w:val="000973AD"/>
    <w:rsid w:val="000979C3"/>
    <w:rsid w:val="000A3CBF"/>
    <w:rsid w:val="000B6CC9"/>
    <w:rsid w:val="000C5E47"/>
    <w:rsid w:val="000D1D2E"/>
    <w:rsid w:val="000D1FB8"/>
    <w:rsid w:val="000E0A69"/>
    <w:rsid w:val="000E1455"/>
    <w:rsid w:val="000E36EE"/>
    <w:rsid w:val="000F435F"/>
    <w:rsid w:val="000F6107"/>
    <w:rsid w:val="001015E4"/>
    <w:rsid w:val="00105447"/>
    <w:rsid w:val="00114835"/>
    <w:rsid w:val="00122D9C"/>
    <w:rsid w:val="00123503"/>
    <w:rsid w:val="001240D5"/>
    <w:rsid w:val="00127D08"/>
    <w:rsid w:val="0013108B"/>
    <w:rsid w:val="00134253"/>
    <w:rsid w:val="001346D8"/>
    <w:rsid w:val="0014150F"/>
    <w:rsid w:val="0015110D"/>
    <w:rsid w:val="0015705F"/>
    <w:rsid w:val="0015775E"/>
    <w:rsid w:val="0016239B"/>
    <w:rsid w:val="001641BC"/>
    <w:rsid w:val="001773CA"/>
    <w:rsid w:val="00183EA2"/>
    <w:rsid w:val="00196E21"/>
    <w:rsid w:val="00197495"/>
    <w:rsid w:val="001A13DD"/>
    <w:rsid w:val="001C4765"/>
    <w:rsid w:val="001C7AB3"/>
    <w:rsid w:val="001D33D5"/>
    <w:rsid w:val="001D364D"/>
    <w:rsid w:val="001D4BB8"/>
    <w:rsid w:val="001D58AC"/>
    <w:rsid w:val="001D60B4"/>
    <w:rsid w:val="001E0107"/>
    <w:rsid w:val="001E202C"/>
    <w:rsid w:val="001E4A2F"/>
    <w:rsid w:val="001E6392"/>
    <w:rsid w:val="001F2E63"/>
    <w:rsid w:val="001F2E7A"/>
    <w:rsid w:val="001F404E"/>
    <w:rsid w:val="001F51D6"/>
    <w:rsid w:val="001F6AD4"/>
    <w:rsid w:val="001F7E99"/>
    <w:rsid w:val="00201879"/>
    <w:rsid w:val="00201889"/>
    <w:rsid w:val="002024E0"/>
    <w:rsid w:val="00214C8C"/>
    <w:rsid w:val="00217C26"/>
    <w:rsid w:val="00220299"/>
    <w:rsid w:val="00222A90"/>
    <w:rsid w:val="00223EF4"/>
    <w:rsid w:val="002241A6"/>
    <w:rsid w:val="00233522"/>
    <w:rsid w:val="00234AAC"/>
    <w:rsid w:val="0024057D"/>
    <w:rsid w:val="002437D5"/>
    <w:rsid w:val="002500B3"/>
    <w:rsid w:val="00250C9D"/>
    <w:rsid w:val="00250E05"/>
    <w:rsid w:val="00252009"/>
    <w:rsid w:val="002616F0"/>
    <w:rsid w:val="002636D9"/>
    <w:rsid w:val="00266FEC"/>
    <w:rsid w:val="00270149"/>
    <w:rsid w:val="0027181B"/>
    <w:rsid w:val="00272DA0"/>
    <w:rsid w:val="00273DBC"/>
    <w:rsid w:val="0028065C"/>
    <w:rsid w:val="00281911"/>
    <w:rsid w:val="00283B84"/>
    <w:rsid w:val="0028489B"/>
    <w:rsid w:val="00285095"/>
    <w:rsid w:val="002853CE"/>
    <w:rsid w:val="002901A4"/>
    <w:rsid w:val="002905D9"/>
    <w:rsid w:val="00291D04"/>
    <w:rsid w:val="00294B28"/>
    <w:rsid w:val="00294CC8"/>
    <w:rsid w:val="00295B80"/>
    <w:rsid w:val="002967CD"/>
    <w:rsid w:val="002979B1"/>
    <w:rsid w:val="002A327C"/>
    <w:rsid w:val="002A4437"/>
    <w:rsid w:val="002B0845"/>
    <w:rsid w:val="002B3962"/>
    <w:rsid w:val="002C73B8"/>
    <w:rsid w:val="002D6095"/>
    <w:rsid w:val="002F7CAB"/>
    <w:rsid w:val="00300F09"/>
    <w:rsid w:val="003045DB"/>
    <w:rsid w:val="00307668"/>
    <w:rsid w:val="00311537"/>
    <w:rsid w:val="00317D0A"/>
    <w:rsid w:val="00330226"/>
    <w:rsid w:val="003316F7"/>
    <w:rsid w:val="00343A13"/>
    <w:rsid w:val="0035048C"/>
    <w:rsid w:val="00354556"/>
    <w:rsid w:val="0036226E"/>
    <w:rsid w:val="003644A7"/>
    <w:rsid w:val="0037172F"/>
    <w:rsid w:val="003720A9"/>
    <w:rsid w:val="003724CD"/>
    <w:rsid w:val="00372779"/>
    <w:rsid w:val="00372C0F"/>
    <w:rsid w:val="00374C04"/>
    <w:rsid w:val="00375B7C"/>
    <w:rsid w:val="00377598"/>
    <w:rsid w:val="00387341"/>
    <w:rsid w:val="003875E2"/>
    <w:rsid w:val="00387C8A"/>
    <w:rsid w:val="003933A0"/>
    <w:rsid w:val="00394F00"/>
    <w:rsid w:val="00394F7A"/>
    <w:rsid w:val="0039606F"/>
    <w:rsid w:val="003A0448"/>
    <w:rsid w:val="003A1B51"/>
    <w:rsid w:val="003A1B82"/>
    <w:rsid w:val="003B10D9"/>
    <w:rsid w:val="003B4CCE"/>
    <w:rsid w:val="003D0DB7"/>
    <w:rsid w:val="003D1B42"/>
    <w:rsid w:val="003D3FF4"/>
    <w:rsid w:val="003E6054"/>
    <w:rsid w:val="003F1020"/>
    <w:rsid w:val="003F2352"/>
    <w:rsid w:val="003F51A7"/>
    <w:rsid w:val="00401FA0"/>
    <w:rsid w:val="004038DC"/>
    <w:rsid w:val="004121CE"/>
    <w:rsid w:val="004163A6"/>
    <w:rsid w:val="0043029F"/>
    <w:rsid w:val="004329E1"/>
    <w:rsid w:val="004416EA"/>
    <w:rsid w:val="00444104"/>
    <w:rsid w:val="004562ED"/>
    <w:rsid w:val="0046200C"/>
    <w:rsid w:val="00464646"/>
    <w:rsid w:val="00465E78"/>
    <w:rsid w:val="004678CC"/>
    <w:rsid w:val="004740F8"/>
    <w:rsid w:val="00486A2C"/>
    <w:rsid w:val="00490EC1"/>
    <w:rsid w:val="004915CC"/>
    <w:rsid w:val="004916A3"/>
    <w:rsid w:val="00495015"/>
    <w:rsid w:val="004978F4"/>
    <w:rsid w:val="004A0039"/>
    <w:rsid w:val="004A1FAD"/>
    <w:rsid w:val="004B31E3"/>
    <w:rsid w:val="004B66F1"/>
    <w:rsid w:val="004C003C"/>
    <w:rsid w:val="004C27FF"/>
    <w:rsid w:val="004D3091"/>
    <w:rsid w:val="004D5B9A"/>
    <w:rsid w:val="004D653E"/>
    <w:rsid w:val="004E36C1"/>
    <w:rsid w:val="004F134C"/>
    <w:rsid w:val="004F17C9"/>
    <w:rsid w:val="004F7562"/>
    <w:rsid w:val="004F7AC2"/>
    <w:rsid w:val="005031B8"/>
    <w:rsid w:val="00511FD4"/>
    <w:rsid w:val="00517718"/>
    <w:rsid w:val="0052048C"/>
    <w:rsid w:val="00531B0A"/>
    <w:rsid w:val="00540C4A"/>
    <w:rsid w:val="005412DA"/>
    <w:rsid w:val="0054334E"/>
    <w:rsid w:val="00544442"/>
    <w:rsid w:val="00547A92"/>
    <w:rsid w:val="00566C8D"/>
    <w:rsid w:val="00572341"/>
    <w:rsid w:val="00573672"/>
    <w:rsid w:val="005738E2"/>
    <w:rsid w:val="00575D48"/>
    <w:rsid w:val="005834D3"/>
    <w:rsid w:val="00587379"/>
    <w:rsid w:val="00596EBE"/>
    <w:rsid w:val="005A3544"/>
    <w:rsid w:val="005C108A"/>
    <w:rsid w:val="005C6C34"/>
    <w:rsid w:val="005C7A99"/>
    <w:rsid w:val="005D2F51"/>
    <w:rsid w:val="005E13FE"/>
    <w:rsid w:val="005E1635"/>
    <w:rsid w:val="005F0654"/>
    <w:rsid w:val="005F2199"/>
    <w:rsid w:val="005F3215"/>
    <w:rsid w:val="005F48B2"/>
    <w:rsid w:val="005F4CFE"/>
    <w:rsid w:val="005F63C6"/>
    <w:rsid w:val="005F7A0F"/>
    <w:rsid w:val="00600A86"/>
    <w:rsid w:val="00615C8C"/>
    <w:rsid w:val="00624503"/>
    <w:rsid w:val="00631923"/>
    <w:rsid w:val="0063238D"/>
    <w:rsid w:val="00643EAE"/>
    <w:rsid w:val="006443D6"/>
    <w:rsid w:val="00645154"/>
    <w:rsid w:val="00647318"/>
    <w:rsid w:val="00655D29"/>
    <w:rsid w:val="00657528"/>
    <w:rsid w:val="00665089"/>
    <w:rsid w:val="00671BB6"/>
    <w:rsid w:val="00685D50"/>
    <w:rsid w:val="0068687D"/>
    <w:rsid w:val="006A71B0"/>
    <w:rsid w:val="006B0A62"/>
    <w:rsid w:val="006B5F08"/>
    <w:rsid w:val="006B644D"/>
    <w:rsid w:val="006D4871"/>
    <w:rsid w:val="006F1DC2"/>
    <w:rsid w:val="006F3CAE"/>
    <w:rsid w:val="006F5E92"/>
    <w:rsid w:val="006F6E1E"/>
    <w:rsid w:val="006F766B"/>
    <w:rsid w:val="007019C4"/>
    <w:rsid w:val="00703BC0"/>
    <w:rsid w:val="00704089"/>
    <w:rsid w:val="007068C4"/>
    <w:rsid w:val="0071271B"/>
    <w:rsid w:val="00715987"/>
    <w:rsid w:val="007178B9"/>
    <w:rsid w:val="00720215"/>
    <w:rsid w:val="007204FA"/>
    <w:rsid w:val="0073379B"/>
    <w:rsid w:val="00735E4B"/>
    <w:rsid w:val="00737879"/>
    <w:rsid w:val="00744473"/>
    <w:rsid w:val="00744E12"/>
    <w:rsid w:val="0074535D"/>
    <w:rsid w:val="00753A9C"/>
    <w:rsid w:val="00753BE6"/>
    <w:rsid w:val="0076136E"/>
    <w:rsid w:val="00761AEC"/>
    <w:rsid w:val="00763E8A"/>
    <w:rsid w:val="00776291"/>
    <w:rsid w:val="007769A7"/>
    <w:rsid w:val="00777872"/>
    <w:rsid w:val="00780AB5"/>
    <w:rsid w:val="00780CB1"/>
    <w:rsid w:val="00781196"/>
    <w:rsid w:val="0078145B"/>
    <w:rsid w:val="00786F55"/>
    <w:rsid w:val="00787C50"/>
    <w:rsid w:val="007954A3"/>
    <w:rsid w:val="007A3DAF"/>
    <w:rsid w:val="007A5254"/>
    <w:rsid w:val="007A6FDA"/>
    <w:rsid w:val="007B390B"/>
    <w:rsid w:val="007B3A89"/>
    <w:rsid w:val="007C270F"/>
    <w:rsid w:val="007C5219"/>
    <w:rsid w:val="007E15A8"/>
    <w:rsid w:val="007E35AF"/>
    <w:rsid w:val="007F0984"/>
    <w:rsid w:val="0080024F"/>
    <w:rsid w:val="00801C93"/>
    <w:rsid w:val="00810E76"/>
    <w:rsid w:val="00812678"/>
    <w:rsid w:val="0081370C"/>
    <w:rsid w:val="00824897"/>
    <w:rsid w:val="00832753"/>
    <w:rsid w:val="00844B1C"/>
    <w:rsid w:val="00845165"/>
    <w:rsid w:val="00850765"/>
    <w:rsid w:val="008521A5"/>
    <w:rsid w:val="008567FD"/>
    <w:rsid w:val="008622C6"/>
    <w:rsid w:val="008626B5"/>
    <w:rsid w:val="00871451"/>
    <w:rsid w:val="0087652C"/>
    <w:rsid w:val="008774E6"/>
    <w:rsid w:val="00880A7A"/>
    <w:rsid w:val="0088681F"/>
    <w:rsid w:val="00891833"/>
    <w:rsid w:val="00896D37"/>
    <w:rsid w:val="008A26AF"/>
    <w:rsid w:val="008A2BF6"/>
    <w:rsid w:val="008A769D"/>
    <w:rsid w:val="008B083E"/>
    <w:rsid w:val="008B1E98"/>
    <w:rsid w:val="008B36E4"/>
    <w:rsid w:val="008C2AD0"/>
    <w:rsid w:val="008C3DFA"/>
    <w:rsid w:val="008C5236"/>
    <w:rsid w:val="008D02A3"/>
    <w:rsid w:val="008D2AA8"/>
    <w:rsid w:val="008E0F35"/>
    <w:rsid w:val="008E4C72"/>
    <w:rsid w:val="008F4186"/>
    <w:rsid w:val="008F5839"/>
    <w:rsid w:val="009022BF"/>
    <w:rsid w:val="009104D0"/>
    <w:rsid w:val="009162EE"/>
    <w:rsid w:val="00921360"/>
    <w:rsid w:val="00921521"/>
    <w:rsid w:val="00924E37"/>
    <w:rsid w:val="00926777"/>
    <w:rsid w:val="009330DC"/>
    <w:rsid w:val="00941B42"/>
    <w:rsid w:val="00945DC9"/>
    <w:rsid w:val="00951D35"/>
    <w:rsid w:val="009538E1"/>
    <w:rsid w:val="00956AC9"/>
    <w:rsid w:val="0096581C"/>
    <w:rsid w:val="00972980"/>
    <w:rsid w:val="00981508"/>
    <w:rsid w:val="00982F5F"/>
    <w:rsid w:val="009833E7"/>
    <w:rsid w:val="009852BC"/>
    <w:rsid w:val="00985A3D"/>
    <w:rsid w:val="00985A91"/>
    <w:rsid w:val="00985B07"/>
    <w:rsid w:val="009947E9"/>
    <w:rsid w:val="009A2A5F"/>
    <w:rsid w:val="009A5399"/>
    <w:rsid w:val="009A6B7F"/>
    <w:rsid w:val="009B1BFF"/>
    <w:rsid w:val="009B33DB"/>
    <w:rsid w:val="009B5FC7"/>
    <w:rsid w:val="009B71D8"/>
    <w:rsid w:val="009C0151"/>
    <w:rsid w:val="009C1900"/>
    <w:rsid w:val="009C2C30"/>
    <w:rsid w:val="009C6A1E"/>
    <w:rsid w:val="009D0C85"/>
    <w:rsid w:val="009D1A54"/>
    <w:rsid w:val="009D4C15"/>
    <w:rsid w:val="009E145D"/>
    <w:rsid w:val="009E20CD"/>
    <w:rsid w:val="009E6F1B"/>
    <w:rsid w:val="009F0CF5"/>
    <w:rsid w:val="009F3C5D"/>
    <w:rsid w:val="009F7651"/>
    <w:rsid w:val="00A0024F"/>
    <w:rsid w:val="00A0226B"/>
    <w:rsid w:val="00A137C0"/>
    <w:rsid w:val="00A16CA3"/>
    <w:rsid w:val="00A27CCE"/>
    <w:rsid w:val="00A31C5A"/>
    <w:rsid w:val="00A37F22"/>
    <w:rsid w:val="00A40294"/>
    <w:rsid w:val="00A41478"/>
    <w:rsid w:val="00A41D01"/>
    <w:rsid w:val="00A425E8"/>
    <w:rsid w:val="00A46D5A"/>
    <w:rsid w:val="00A51FEC"/>
    <w:rsid w:val="00A55BCA"/>
    <w:rsid w:val="00A61039"/>
    <w:rsid w:val="00A67B36"/>
    <w:rsid w:val="00A72B1E"/>
    <w:rsid w:val="00A817C1"/>
    <w:rsid w:val="00A90AFD"/>
    <w:rsid w:val="00A90C7C"/>
    <w:rsid w:val="00A93DF4"/>
    <w:rsid w:val="00AB362E"/>
    <w:rsid w:val="00AB3906"/>
    <w:rsid w:val="00AB7833"/>
    <w:rsid w:val="00AC090C"/>
    <w:rsid w:val="00AC0DC4"/>
    <w:rsid w:val="00AC14EB"/>
    <w:rsid w:val="00AC4034"/>
    <w:rsid w:val="00AC4E7B"/>
    <w:rsid w:val="00AD215C"/>
    <w:rsid w:val="00AE7D61"/>
    <w:rsid w:val="00AF1671"/>
    <w:rsid w:val="00B11900"/>
    <w:rsid w:val="00B214C9"/>
    <w:rsid w:val="00B40C45"/>
    <w:rsid w:val="00B44FEA"/>
    <w:rsid w:val="00B452F3"/>
    <w:rsid w:val="00B522F8"/>
    <w:rsid w:val="00B649E6"/>
    <w:rsid w:val="00B74455"/>
    <w:rsid w:val="00B7542D"/>
    <w:rsid w:val="00B77CDD"/>
    <w:rsid w:val="00B83067"/>
    <w:rsid w:val="00B83513"/>
    <w:rsid w:val="00B8475B"/>
    <w:rsid w:val="00B878BF"/>
    <w:rsid w:val="00B87F92"/>
    <w:rsid w:val="00B901F5"/>
    <w:rsid w:val="00B92825"/>
    <w:rsid w:val="00B96A60"/>
    <w:rsid w:val="00BB001E"/>
    <w:rsid w:val="00BB29FF"/>
    <w:rsid w:val="00BB6F32"/>
    <w:rsid w:val="00BB71B0"/>
    <w:rsid w:val="00BC4613"/>
    <w:rsid w:val="00BD1364"/>
    <w:rsid w:val="00BD7A46"/>
    <w:rsid w:val="00BE3372"/>
    <w:rsid w:val="00BF608D"/>
    <w:rsid w:val="00C151C7"/>
    <w:rsid w:val="00C16504"/>
    <w:rsid w:val="00C16E91"/>
    <w:rsid w:val="00C16EF7"/>
    <w:rsid w:val="00C17A69"/>
    <w:rsid w:val="00C17ED8"/>
    <w:rsid w:val="00C17FD4"/>
    <w:rsid w:val="00C20F25"/>
    <w:rsid w:val="00C373DA"/>
    <w:rsid w:val="00C453DA"/>
    <w:rsid w:val="00C45AF2"/>
    <w:rsid w:val="00C51F6D"/>
    <w:rsid w:val="00C5217F"/>
    <w:rsid w:val="00C64AD9"/>
    <w:rsid w:val="00C65313"/>
    <w:rsid w:val="00C653EE"/>
    <w:rsid w:val="00C83D70"/>
    <w:rsid w:val="00C86A9C"/>
    <w:rsid w:val="00C86E7B"/>
    <w:rsid w:val="00C878E9"/>
    <w:rsid w:val="00C91FB7"/>
    <w:rsid w:val="00CA163A"/>
    <w:rsid w:val="00CA3D71"/>
    <w:rsid w:val="00CA514E"/>
    <w:rsid w:val="00CB6A50"/>
    <w:rsid w:val="00CB7A80"/>
    <w:rsid w:val="00CC3B9F"/>
    <w:rsid w:val="00CC54D8"/>
    <w:rsid w:val="00CC7C63"/>
    <w:rsid w:val="00CD075E"/>
    <w:rsid w:val="00CD1AFF"/>
    <w:rsid w:val="00CD4911"/>
    <w:rsid w:val="00CD66A9"/>
    <w:rsid w:val="00CE0341"/>
    <w:rsid w:val="00CF09C5"/>
    <w:rsid w:val="00CF4CF6"/>
    <w:rsid w:val="00D041A5"/>
    <w:rsid w:val="00D06B06"/>
    <w:rsid w:val="00D16972"/>
    <w:rsid w:val="00D17F63"/>
    <w:rsid w:val="00D237E0"/>
    <w:rsid w:val="00D263A4"/>
    <w:rsid w:val="00D32141"/>
    <w:rsid w:val="00D359F0"/>
    <w:rsid w:val="00D47828"/>
    <w:rsid w:val="00D50741"/>
    <w:rsid w:val="00D554F6"/>
    <w:rsid w:val="00D55AB0"/>
    <w:rsid w:val="00D57AAD"/>
    <w:rsid w:val="00D57F00"/>
    <w:rsid w:val="00D60DFC"/>
    <w:rsid w:val="00D668CF"/>
    <w:rsid w:val="00D73892"/>
    <w:rsid w:val="00D837C2"/>
    <w:rsid w:val="00D85D3F"/>
    <w:rsid w:val="00D93AE9"/>
    <w:rsid w:val="00DA0FF0"/>
    <w:rsid w:val="00DA2EAC"/>
    <w:rsid w:val="00DA672E"/>
    <w:rsid w:val="00DA75D1"/>
    <w:rsid w:val="00DB2316"/>
    <w:rsid w:val="00DB381F"/>
    <w:rsid w:val="00DB52AC"/>
    <w:rsid w:val="00DC0102"/>
    <w:rsid w:val="00DC093A"/>
    <w:rsid w:val="00DC2B6A"/>
    <w:rsid w:val="00DE1411"/>
    <w:rsid w:val="00DE2DA5"/>
    <w:rsid w:val="00DE450B"/>
    <w:rsid w:val="00DE7087"/>
    <w:rsid w:val="00DF3BF1"/>
    <w:rsid w:val="00DF5971"/>
    <w:rsid w:val="00E072FC"/>
    <w:rsid w:val="00E202B8"/>
    <w:rsid w:val="00E22CC2"/>
    <w:rsid w:val="00E25845"/>
    <w:rsid w:val="00E25C64"/>
    <w:rsid w:val="00E271D4"/>
    <w:rsid w:val="00E271E7"/>
    <w:rsid w:val="00E30361"/>
    <w:rsid w:val="00E37EAA"/>
    <w:rsid w:val="00E419E2"/>
    <w:rsid w:val="00E460F9"/>
    <w:rsid w:val="00E50F43"/>
    <w:rsid w:val="00E53049"/>
    <w:rsid w:val="00E66298"/>
    <w:rsid w:val="00E6764A"/>
    <w:rsid w:val="00E7011E"/>
    <w:rsid w:val="00E71A79"/>
    <w:rsid w:val="00E72C11"/>
    <w:rsid w:val="00E81009"/>
    <w:rsid w:val="00E83A93"/>
    <w:rsid w:val="00E843C9"/>
    <w:rsid w:val="00E944D9"/>
    <w:rsid w:val="00E952B7"/>
    <w:rsid w:val="00EA2E1C"/>
    <w:rsid w:val="00EA3136"/>
    <w:rsid w:val="00EC2FFB"/>
    <w:rsid w:val="00EC37C6"/>
    <w:rsid w:val="00EC4442"/>
    <w:rsid w:val="00EC7177"/>
    <w:rsid w:val="00ED3918"/>
    <w:rsid w:val="00ED3987"/>
    <w:rsid w:val="00ED6AE0"/>
    <w:rsid w:val="00EE16B0"/>
    <w:rsid w:val="00EE2253"/>
    <w:rsid w:val="00EE4D45"/>
    <w:rsid w:val="00EE7DF8"/>
    <w:rsid w:val="00EF2B0B"/>
    <w:rsid w:val="00EF5E7C"/>
    <w:rsid w:val="00F007B5"/>
    <w:rsid w:val="00F01955"/>
    <w:rsid w:val="00F02992"/>
    <w:rsid w:val="00F05607"/>
    <w:rsid w:val="00F11B6F"/>
    <w:rsid w:val="00F1501A"/>
    <w:rsid w:val="00F158AF"/>
    <w:rsid w:val="00F22608"/>
    <w:rsid w:val="00F23F46"/>
    <w:rsid w:val="00F252AE"/>
    <w:rsid w:val="00F30191"/>
    <w:rsid w:val="00F44BE5"/>
    <w:rsid w:val="00F46F16"/>
    <w:rsid w:val="00F47501"/>
    <w:rsid w:val="00F514FB"/>
    <w:rsid w:val="00F5292B"/>
    <w:rsid w:val="00F578E8"/>
    <w:rsid w:val="00F61DC4"/>
    <w:rsid w:val="00F65452"/>
    <w:rsid w:val="00F73C4D"/>
    <w:rsid w:val="00F7428A"/>
    <w:rsid w:val="00F75812"/>
    <w:rsid w:val="00F82CFF"/>
    <w:rsid w:val="00F83BF8"/>
    <w:rsid w:val="00F90673"/>
    <w:rsid w:val="00F909CD"/>
    <w:rsid w:val="00F9313D"/>
    <w:rsid w:val="00FA17C0"/>
    <w:rsid w:val="00FA1BD5"/>
    <w:rsid w:val="00FA3D3E"/>
    <w:rsid w:val="00FA7144"/>
    <w:rsid w:val="00FB1B59"/>
    <w:rsid w:val="00FB3DAE"/>
    <w:rsid w:val="00FB4B54"/>
    <w:rsid w:val="00FB7764"/>
    <w:rsid w:val="00FC1B09"/>
    <w:rsid w:val="00FC2B71"/>
    <w:rsid w:val="00FC33F6"/>
    <w:rsid w:val="00FC6C9E"/>
    <w:rsid w:val="00FE1035"/>
    <w:rsid w:val="00FE4956"/>
    <w:rsid w:val="00FE565F"/>
    <w:rsid w:val="00FF04D3"/>
    <w:rsid w:val="00FF075C"/>
    <w:rsid w:val="00FF7C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36042E"/>
  <w15:docId w15:val="{4B581643-B48C-408D-9842-30CE633C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9053">
      <w:bodyDiv w:val="1"/>
      <w:marLeft w:val="0"/>
      <w:marRight w:val="0"/>
      <w:marTop w:val="0"/>
      <w:marBottom w:val="0"/>
      <w:divBdr>
        <w:top w:val="none" w:sz="0" w:space="0" w:color="auto"/>
        <w:left w:val="none" w:sz="0" w:space="0" w:color="auto"/>
        <w:bottom w:val="none" w:sz="0" w:space="0" w:color="auto"/>
        <w:right w:val="none" w:sz="0" w:space="0" w:color="auto"/>
      </w:divBdr>
    </w:div>
    <w:div w:id="1328554270">
      <w:bodyDiv w:val="1"/>
      <w:marLeft w:val="0"/>
      <w:marRight w:val="0"/>
      <w:marTop w:val="0"/>
      <w:marBottom w:val="0"/>
      <w:divBdr>
        <w:top w:val="none" w:sz="0" w:space="0" w:color="auto"/>
        <w:left w:val="none" w:sz="0" w:space="0" w:color="auto"/>
        <w:bottom w:val="none" w:sz="0" w:space="0" w:color="auto"/>
        <w:right w:val="none" w:sz="0" w:space="0" w:color="auto"/>
      </w:divBdr>
      <w:divsChild>
        <w:div w:id="682707098">
          <w:marLeft w:val="0"/>
          <w:marRight w:val="0"/>
          <w:marTop w:val="0"/>
          <w:marBottom w:val="0"/>
          <w:divBdr>
            <w:top w:val="none" w:sz="0" w:space="0" w:color="auto"/>
            <w:left w:val="none" w:sz="0" w:space="0" w:color="auto"/>
            <w:bottom w:val="none" w:sz="0" w:space="0" w:color="auto"/>
            <w:right w:val="none" w:sz="0" w:space="0" w:color="auto"/>
          </w:divBdr>
          <w:divsChild>
            <w:div w:id="1138382559">
              <w:marLeft w:val="0"/>
              <w:marRight w:val="0"/>
              <w:marTop w:val="0"/>
              <w:marBottom w:val="0"/>
              <w:divBdr>
                <w:top w:val="none" w:sz="0" w:space="0" w:color="auto"/>
                <w:left w:val="none" w:sz="0" w:space="0" w:color="auto"/>
                <w:bottom w:val="none" w:sz="0" w:space="0" w:color="auto"/>
                <w:right w:val="none" w:sz="0" w:space="0" w:color="auto"/>
              </w:divBdr>
            </w:div>
            <w:div w:id="1003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699">
      <w:bodyDiv w:val="1"/>
      <w:marLeft w:val="0"/>
      <w:marRight w:val="0"/>
      <w:marTop w:val="0"/>
      <w:marBottom w:val="0"/>
      <w:divBdr>
        <w:top w:val="none" w:sz="0" w:space="0" w:color="auto"/>
        <w:left w:val="none" w:sz="0" w:space="0" w:color="auto"/>
        <w:bottom w:val="none" w:sz="0" w:space="0" w:color="auto"/>
        <w:right w:val="none" w:sz="0" w:space="0" w:color="auto"/>
      </w:divBdr>
    </w:div>
    <w:div w:id="1511335640">
      <w:bodyDiv w:val="1"/>
      <w:marLeft w:val="0"/>
      <w:marRight w:val="0"/>
      <w:marTop w:val="0"/>
      <w:marBottom w:val="0"/>
      <w:divBdr>
        <w:top w:val="none" w:sz="0" w:space="0" w:color="auto"/>
        <w:left w:val="none" w:sz="0" w:space="0" w:color="auto"/>
        <w:bottom w:val="none" w:sz="0" w:space="0" w:color="auto"/>
        <w:right w:val="none" w:sz="0" w:space="0" w:color="auto"/>
      </w:divBdr>
    </w:div>
    <w:div w:id="1538077541">
      <w:bodyDiv w:val="1"/>
      <w:marLeft w:val="0"/>
      <w:marRight w:val="0"/>
      <w:marTop w:val="0"/>
      <w:marBottom w:val="0"/>
      <w:divBdr>
        <w:top w:val="none" w:sz="0" w:space="0" w:color="auto"/>
        <w:left w:val="none" w:sz="0" w:space="0" w:color="auto"/>
        <w:bottom w:val="none" w:sz="0" w:space="0" w:color="auto"/>
        <w:right w:val="none" w:sz="0" w:space="0" w:color="auto"/>
      </w:divBdr>
      <w:divsChild>
        <w:div w:id="91320243">
          <w:marLeft w:val="0"/>
          <w:marRight w:val="0"/>
          <w:marTop w:val="0"/>
          <w:marBottom w:val="0"/>
          <w:divBdr>
            <w:top w:val="none" w:sz="0" w:space="0" w:color="auto"/>
            <w:left w:val="none" w:sz="0" w:space="0" w:color="auto"/>
            <w:bottom w:val="none" w:sz="0" w:space="0" w:color="auto"/>
            <w:right w:val="none" w:sz="0" w:space="0" w:color="auto"/>
          </w:divBdr>
          <w:divsChild>
            <w:div w:id="676349283">
              <w:marLeft w:val="0"/>
              <w:marRight w:val="0"/>
              <w:marTop w:val="0"/>
              <w:marBottom w:val="0"/>
              <w:divBdr>
                <w:top w:val="none" w:sz="0" w:space="0" w:color="auto"/>
                <w:left w:val="none" w:sz="0" w:space="0" w:color="auto"/>
                <w:bottom w:val="none" w:sz="0" w:space="0" w:color="auto"/>
                <w:right w:val="none" w:sz="0" w:space="0" w:color="auto"/>
              </w:divBdr>
            </w:div>
            <w:div w:id="1934438944">
              <w:marLeft w:val="0"/>
              <w:marRight w:val="0"/>
              <w:marTop w:val="0"/>
              <w:marBottom w:val="0"/>
              <w:divBdr>
                <w:top w:val="none" w:sz="0" w:space="0" w:color="auto"/>
                <w:left w:val="none" w:sz="0" w:space="0" w:color="auto"/>
                <w:bottom w:val="none" w:sz="0" w:space="0" w:color="auto"/>
                <w:right w:val="none" w:sz="0" w:space="0" w:color="auto"/>
              </w:divBdr>
            </w:div>
            <w:div w:id="22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394">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2">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0"/>
              <w:divBdr>
                <w:top w:val="none" w:sz="0" w:space="0" w:color="auto"/>
                <w:left w:val="none" w:sz="0" w:space="0" w:color="auto"/>
                <w:bottom w:val="none" w:sz="0" w:space="0" w:color="auto"/>
                <w:right w:val="none" w:sz="0" w:space="0" w:color="auto"/>
              </w:divBdr>
            </w:div>
            <w:div w:id="831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42E2-3829-4D6D-99EF-95E41028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Executive Summary of the LHO HIFO-Y Test</vt:lpstr>
    </vt:vector>
  </TitlesOfParts>
  <Company>Caltech</Company>
  <LinksUpToDate>false</LinksUpToDate>
  <CharactersWithSpaces>5836</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LHO HIFO-Y Test</dc:title>
  <dc:creator>Daniel Sigg;Keita Kawabe;Peter Fritschel</dc:creator>
  <cp:lastModifiedBy>Daniel Sigg</cp:lastModifiedBy>
  <cp:revision>73</cp:revision>
  <cp:lastPrinted>2011-02-06T21:05:00Z</cp:lastPrinted>
  <dcterms:created xsi:type="dcterms:W3CDTF">2017-09-14T16:24:00Z</dcterms:created>
  <dcterms:modified xsi:type="dcterms:W3CDTF">2018-06-07T02:20:00Z</dcterms:modified>
</cp:coreProperties>
</file>