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1" w:type="dxa"/>
        <w:tblInd w:w="18" w:type="dxa"/>
        <w:tblBorders>
          <w:top w:val="single" w:sz="18" w:space="0" w:color="auto"/>
          <w:left w:val="single" w:sz="4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1990"/>
        <w:gridCol w:w="1719"/>
        <w:gridCol w:w="3318"/>
      </w:tblGrid>
      <w:tr w:rsidR="000B0F6C" w:rsidRPr="00524944" w:rsidTr="00355369">
        <w:trPr>
          <w:trHeight w:val="302"/>
        </w:trPr>
        <w:tc>
          <w:tcPr>
            <w:tcW w:w="2804" w:type="dxa"/>
            <w:shd w:val="clear" w:color="auto" w:fill="auto"/>
          </w:tcPr>
          <w:p w:rsidR="000B0F6C" w:rsidRPr="00524944" w:rsidRDefault="009347B4" w:rsidP="000B0F6C">
            <w:pPr>
              <w:pStyle w:val="StyleArialNarrowLatinBoldCentered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 xml:space="preserve">Test </w:t>
            </w:r>
            <w:r w:rsidR="000B0F6C">
              <w:rPr>
                <w:rStyle w:val="StyleArialNarrowLatinBold"/>
                <w:b/>
                <w:bCs/>
              </w:rPr>
              <w:t>Date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0B0F6C" w:rsidRPr="00524944" w:rsidRDefault="00241F56">
            <w:pPr>
              <w:rPr>
                <w:rStyle w:val="StyleArialNarrowLatinBold"/>
                <w:bCs/>
              </w:rPr>
            </w:pPr>
            <w:r>
              <w:rPr>
                <w:rStyle w:val="StyleArialNarrowLatinBold"/>
                <w:bCs/>
              </w:rPr>
              <w:t>Jul. 26-31</w:t>
            </w:r>
            <w:r w:rsidR="005D6831">
              <w:rPr>
                <w:rStyle w:val="StyleArialNarrowLatinBold"/>
                <w:bCs/>
              </w:rPr>
              <w:t xml:space="preserve">, </w:t>
            </w:r>
            <w:r w:rsidR="00A7504F">
              <w:rPr>
                <w:rStyle w:val="StyleArialNarrowLatinBold"/>
                <w:bCs/>
              </w:rPr>
              <w:t>201</w:t>
            </w:r>
            <w:r w:rsidR="00E53B55">
              <w:rPr>
                <w:rStyle w:val="StyleArialNarrowLatinBold"/>
                <w:bCs/>
              </w:rPr>
              <w:t>7</w:t>
            </w:r>
          </w:p>
        </w:tc>
      </w:tr>
      <w:tr w:rsidR="000B0F6C" w:rsidRPr="00524944" w:rsidTr="00355369">
        <w:trPr>
          <w:trHeight w:val="302"/>
        </w:trPr>
        <w:tc>
          <w:tcPr>
            <w:tcW w:w="2804" w:type="dxa"/>
            <w:shd w:val="clear" w:color="auto" w:fill="auto"/>
          </w:tcPr>
          <w:p w:rsidR="000B0F6C" w:rsidRPr="00524944" w:rsidRDefault="002846FF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Author</w:t>
            </w:r>
            <w:r w:rsidR="0054103C">
              <w:rPr>
                <w:rStyle w:val="StyleArialNarrowLatinBold"/>
                <w:b/>
                <w:bCs/>
              </w:rPr>
              <w:t>(s</w:t>
            </w:r>
            <w:r w:rsidR="000B0F6C" w:rsidRPr="00524944">
              <w:rPr>
                <w:rStyle w:val="StyleArialNarrowLatinBold"/>
                <w:b/>
                <w:bCs/>
              </w:rPr>
              <w:t>)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0B0F6C" w:rsidRPr="00472831" w:rsidRDefault="00A7504F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Liy</w:t>
            </w:r>
            <w:r w:rsidR="00E53B55">
              <w:rPr>
                <w:rStyle w:val="StyleArialNarrowLatinBold"/>
                <w:b w:val="0"/>
              </w:rPr>
              <w:t>uan Zhang</w:t>
            </w:r>
            <w:r w:rsidR="002642FA">
              <w:rPr>
                <w:rStyle w:val="StyleArialNarrowLatinBold"/>
                <w:b w:val="0"/>
              </w:rPr>
              <w:t xml:space="preserve">, </w:t>
            </w:r>
            <w:r w:rsidR="00127424">
              <w:rPr>
                <w:rStyle w:val="StyleArialNarrowLatinBold"/>
                <w:b w:val="0"/>
              </w:rPr>
              <w:t>GariLynn Billingsley</w:t>
            </w:r>
          </w:p>
        </w:tc>
      </w:tr>
      <w:tr w:rsidR="000B0F6C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0B0F6C" w:rsidRPr="00524944" w:rsidRDefault="000B0F6C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Approval(s)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0B0F6C" w:rsidRDefault="000B0F6C">
            <w:pPr>
              <w:rPr>
                <w:rStyle w:val="StyleArialNarrowLatinBold"/>
                <w:b w:val="0"/>
              </w:rPr>
            </w:pPr>
          </w:p>
        </w:tc>
      </w:tr>
      <w:tr w:rsidR="00F341E0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F341E0" w:rsidRDefault="00F341E0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Specification Doc.</w:t>
            </w:r>
          </w:p>
        </w:tc>
        <w:tc>
          <w:tcPr>
            <w:tcW w:w="1990" w:type="dxa"/>
            <w:shd w:val="clear" w:color="auto" w:fill="auto"/>
          </w:tcPr>
          <w:p w:rsidR="00F341E0" w:rsidRDefault="00F341E0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LIGO-E</w:t>
            </w:r>
            <w:r w:rsidR="007F29AB">
              <w:rPr>
                <w:rStyle w:val="StyleArialNarrowLatinBold"/>
                <w:b w:val="0"/>
              </w:rPr>
              <w:t>0900041</w:t>
            </w:r>
          </w:p>
        </w:tc>
        <w:tc>
          <w:tcPr>
            <w:tcW w:w="1719" w:type="dxa"/>
            <w:shd w:val="clear" w:color="auto" w:fill="auto"/>
          </w:tcPr>
          <w:p w:rsidR="00F341E0" w:rsidRDefault="00F341E0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Cs/>
              </w:rPr>
              <w:t>Specification</w:t>
            </w:r>
          </w:p>
        </w:tc>
        <w:tc>
          <w:tcPr>
            <w:tcW w:w="3318" w:type="dxa"/>
            <w:shd w:val="clear" w:color="auto" w:fill="auto"/>
          </w:tcPr>
          <w:p w:rsidR="00F341E0" w:rsidRDefault="007052DF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HR&lt;0.5 ppm, AR</w:t>
            </w:r>
            <w:r w:rsidR="008B289D">
              <w:rPr>
                <w:rStyle w:val="StyleArialNarrowLatinBold"/>
                <w:b w:val="0"/>
              </w:rPr>
              <w:t>&lt;1.0 ppm</w:t>
            </w:r>
          </w:p>
        </w:tc>
      </w:tr>
      <w:tr w:rsidR="00B73915" w:rsidRPr="00524944" w:rsidTr="000372A8">
        <w:trPr>
          <w:trHeight w:val="312"/>
        </w:trPr>
        <w:tc>
          <w:tcPr>
            <w:tcW w:w="2804" w:type="dxa"/>
            <w:shd w:val="clear" w:color="auto" w:fill="auto"/>
          </w:tcPr>
          <w:p w:rsidR="00B73915" w:rsidRDefault="00B73915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Procedure Doc.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B73915" w:rsidRDefault="00B73915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LIGO-E1000863</w:t>
            </w:r>
          </w:p>
        </w:tc>
      </w:tr>
      <w:tr w:rsidR="00B73915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B73915" w:rsidRPr="00B73915" w:rsidRDefault="008B289D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S1 HR  (Mean ± RMS</w:t>
            </w:r>
            <w:r w:rsidR="00B73915">
              <w:rPr>
                <w:rStyle w:val="StyleArialNarrowLatinBold"/>
                <w:b/>
                <w:bCs/>
              </w:rPr>
              <w:t>)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B73915" w:rsidRDefault="00241F56">
            <w:pPr>
              <w:rPr>
                <w:rStyle w:val="StyleArialNarrowLatinBold"/>
                <w:b w:val="0"/>
              </w:rPr>
            </w:pPr>
            <w:bookmarkStart w:id="0" w:name="OLE_LINK1"/>
            <w:bookmarkStart w:id="1" w:name="OLE_LINK2"/>
            <w:r>
              <w:rPr>
                <w:rStyle w:val="StyleArialNarrowLatinBold"/>
                <w:b w:val="0"/>
              </w:rPr>
              <w:t>0.4</w:t>
            </w:r>
            <w:r w:rsidR="006E212F">
              <w:rPr>
                <w:rStyle w:val="StyleArialNarrowLatinBold"/>
                <w:b w:val="0"/>
              </w:rPr>
              <w:t xml:space="preserve"> ± </w:t>
            </w:r>
            <w:bookmarkEnd w:id="0"/>
            <w:bookmarkEnd w:id="1"/>
            <w:r w:rsidR="008B289D">
              <w:rPr>
                <w:rStyle w:val="StyleArialNarrowLatinBold"/>
                <w:b w:val="0"/>
              </w:rPr>
              <w:t>0.1</w:t>
            </w:r>
            <w:r w:rsidR="006E212F">
              <w:rPr>
                <w:rStyle w:val="StyleArialNarrowLatinBold"/>
                <w:b w:val="0"/>
              </w:rPr>
              <w:t xml:space="preserve"> ppm</w:t>
            </w:r>
          </w:p>
        </w:tc>
      </w:tr>
      <w:tr w:rsidR="00B73915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B73915" w:rsidRPr="00B73915" w:rsidRDefault="008B289D" w:rsidP="00B73915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S2 AR  (Mean ± RMS</w:t>
            </w:r>
            <w:r w:rsidR="00B73915">
              <w:rPr>
                <w:rStyle w:val="StyleArialNarrowLatinBold"/>
                <w:b/>
                <w:bCs/>
              </w:rPr>
              <w:t>)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B73915" w:rsidRDefault="00241F56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0.7</w:t>
            </w:r>
            <w:r w:rsidR="008B289D">
              <w:rPr>
                <w:rStyle w:val="StyleArialNarrowLatinBold"/>
                <w:b w:val="0"/>
              </w:rPr>
              <w:t xml:space="preserve"> ± 0.1</w:t>
            </w:r>
            <w:r w:rsidR="006E212F">
              <w:rPr>
                <w:rStyle w:val="StyleArialNarrowLatinBold"/>
                <w:b w:val="0"/>
              </w:rPr>
              <w:t xml:space="preserve"> ppm</w:t>
            </w:r>
          </w:p>
        </w:tc>
      </w:tr>
      <w:tr w:rsidR="00B73915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B73915" w:rsidRDefault="00B73915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Conclusion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B73915" w:rsidRDefault="005F5BFA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Qualified</w:t>
            </w:r>
            <w:r w:rsidR="00127424">
              <w:rPr>
                <w:rStyle w:val="StyleArialNarrowLatinBold"/>
                <w:b w:val="0"/>
              </w:rPr>
              <w:t>.</w:t>
            </w:r>
          </w:p>
        </w:tc>
      </w:tr>
    </w:tbl>
    <w:p w:rsidR="008B289D" w:rsidRDefault="008B289D" w:rsidP="00BB4F69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szCs w:val="24"/>
        </w:rPr>
      </w:pPr>
    </w:p>
    <w:p w:rsidR="00DB3014" w:rsidRPr="00BB4F69" w:rsidRDefault="000B0F6C" w:rsidP="00DB3014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 w:val="32"/>
          <w:szCs w:val="32"/>
        </w:rPr>
      </w:pPr>
      <w:r w:rsidRPr="000B0F6C">
        <w:rPr>
          <w:b/>
          <w:sz w:val="32"/>
          <w:szCs w:val="32"/>
        </w:rPr>
        <w:t>Discussion</w:t>
      </w:r>
      <w:r w:rsidR="00E4573F">
        <w:rPr>
          <w:b/>
          <w:sz w:val="32"/>
          <w:szCs w:val="32"/>
        </w:rPr>
        <w:t>s</w:t>
      </w:r>
      <w:r w:rsidRPr="000B0F6C">
        <w:rPr>
          <w:b/>
          <w:sz w:val="32"/>
          <w:szCs w:val="32"/>
        </w:rPr>
        <w:t xml:space="preserve"> and Comment</w:t>
      </w:r>
      <w:r w:rsidR="00E4573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:</w:t>
      </w:r>
    </w:p>
    <w:p w:rsidR="00504505" w:rsidRDefault="00BB4F69" w:rsidP="00504505">
      <w:pPr>
        <w:pStyle w:val="numberedparagraph"/>
        <w:numPr>
          <w:ilvl w:val="0"/>
          <w:numId w:val="0"/>
        </w:numPr>
        <w:tabs>
          <w:tab w:val="num" w:pos="810"/>
        </w:tabs>
        <w:ind w:left="810" w:hanging="810"/>
        <w:rPr>
          <w:b/>
          <w:szCs w:val="24"/>
        </w:rPr>
      </w:pPr>
      <w:r>
        <w:rPr>
          <w:b/>
          <w:szCs w:val="24"/>
        </w:rPr>
        <w:tab/>
      </w:r>
      <w:r w:rsidR="007052DF">
        <w:rPr>
          <w:b/>
          <w:szCs w:val="24"/>
        </w:rPr>
        <w:t xml:space="preserve">For each surface, </w:t>
      </w:r>
      <w:r w:rsidR="0097112F">
        <w:rPr>
          <w:b/>
          <w:szCs w:val="24"/>
        </w:rPr>
        <w:t>S1 (HR</w:t>
      </w:r>
      <w:r w:rsidR="007052DF">
        <w:rPr>
          <w:b/>
          <w:szCs w:val="24"/>
        </w:rPr>
        <w:t xml:space="preserve">) and </w:t>
      </w:r>
      <w:r w:rsidR="0097112F">
        <w:rPr>
          <w:b/>
          <w:szCs w:val="24"/>
        </w:rPr>
        <w:t>S2 (AR</w:t>
      </w:r>
      <w:r w:rsidR="007052DF">
        <w:rPr>
          <w:b/>
          <w:szCs w:val="24"/>
        </w:rPr>
        <w:t>)</w:t>
      </w:r>
      <w:r w:rsidR="00DB3014">
        <w:rPr>
          <w:b/>
          <w:szCs w:val="24"/>
        </w:rPr>
        <w:t xml:space="preserve">, </w:t>
      </w:r>
      <w:r w:rsidR="00EE6EF2">
        <w:rPr>
          <w:b/>
          <w:szCs w:val="24"/>
        </w:rPr>
        <w:t>4 linear scans of 20 mm are carried out</w:t>
      </w:r>
      <w:r w:rsidR="007052DF">
        <w:rPr>
          <w:b/>
          <w:szCs w:val="24"/>
        </w:rPr>
        <w:t xml:space="preserve"> along X+- and Y+- </w:t>
      </w:r>
      <w:r w:rsidR="00EE6EF2">
        <w:rPr>
          <w:b/>
          <w:szCs w:val="24"/>
        </w:rPr>
        <w:t>outside central 120 mm in diameter</w:t>
      </w:r>
      <w:r w:rsidR="00DB3014">
        <w:rPr>
          <w:b/>
          <w:szCs w:val="24"/>
        </w:rPr>
        <w:t xml:space="preserve">. </w:t>
      </w:r>
      <w:r w:rsidR="007052DF">
        <w:rPr>
          <w:b/>
          <w:szCs w:val="24"/>
        </w:rPr>
        <w:t xml:space="preserve">The arrow on barrel is positioned at </w:t>
      </w:r>
      <w:bookmarkStart w:id="2" w:name="_GoBack"/>
      <w:bookmarkEnd w:id="2"/>
      <w:r w:rsidR="007052DF">
        <w:rPr>
          <w:b/>
          <w:szCs w:val="24"/>
        </w:rPr>
        <w:t xml:space="preserve">Y+ direction. </w:t>
      </w:r>
      <w:r w:rsidR="00DB3014" w:rsidRPr="00DB3014">
        <w:rPr>
          <w:b/>
          <w:szCs w:val="24"/>
        </w:rPr>
        <w:t>The calibration is done by a contamination cavity HR mirror (1” in dia.</w:t>
      </w:r>
      <w:r w:rsidR="00DB3014">
        <w:rPr>
          <w:b/>
          <w:szCs w:val="24"/>
        </w:rPr>
        <w:t>, No. 8128</w:t>
      </w:r>
      <w:r w:rsidR="00DB3014" w:rsidRPr="00DB3014">
        <w:rPr>
          <w:b/>
          <w:szCs w:val="24"/>
        </w:rPr>
        <w:t>), of which the HR absorption was measured to be 0.6 ppm in the optical contamination test.</w:t>
      </w:r>
      <w:r w:rsidR="00EE6EF2">
        <w:rPr>
          <w:b/>
          <w:szCs w:val="24"/>
        </w:rPr>
        <w:t xml:space="preserve"> The results are summarized in Fig.1</w:t>
      </w:r>
      <w:r w:rsidR="0097112F">
        <w:rPr>
          <w:b/>
          <w:szCs w:val="24"/>
        </w:rPr>
        <w:t xml:space="preserve"> and 2</w:t>
      </w:r>
      <w:r w:rsidR="00EE6EF2">
        <w:rPr>
          <w:b/>
          <w:szCs w:val="24"/>
        </w:rPr>
        <w:t xml:space="preserve"> for HR (S1) and AR (S2) respectively.</w:t>
      </w:r>
    </w:p>
    <w:p w:rsidR="00DB3014" w:rsidRDefault="00DB3014" w:rsidP="00504505">
      <w:pPr>
        <w:pStyle w:val="numberedparagraph"/>
        <w:numPr>
          <w:ilvl w:val="0"/>
          <w:numId w:val="0"/>
        </w:numPr>
        <w:tabs>
          <w:tab w:val="num" w:pos="810"/>
        </w:tabs>
        <w:ind w:left="810" w:hanging="810"/>
        <w:rPr>
          <w:b/>
          <w:szCs w:val="24"/>
          <w:lang w:val="en"/>
        </w:rPr>
      </w:pPr>
    </w:p>
    <w:p w:rsidR="00CC463A" w:rsidRPr="00504505" w:rsidRDefault="00504505" w:rsidP="00504505">
      <w:pPr>
        <w:pStyle w:val="numberedparagraph"/>
        <w:numPr>
          <w:ilvl w:val="0"/>
          <w:numId w:val="0"/>
        </w:numPr>
        <w:tabs>
          <w:tab w:val="num" w:pos="810"/>
        </w:tabs>
        <w:ind w:left="810" w:hanging="810"/>
        <w:rPr>
          <w:b/>
          <w:szCs w:val="24"/>
          <w:lang w:val="en"/>
        </w:rPr>
      </w:pPr>
      <w:r>
        <w:rPr>
          <w:b/>
          <w:szCs w:val="24"/>
          <w:lang w:val="en"/>
        </w:rPr>
        <w:tab/>
      </w:r>
    </w:p>
    <w:p w:rsidR="005D152C" w:rsidRPr="005D152C" w:rsidRDefault="005D152C" w:rsidP="00DF7DEE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Cs w:val="24"/>
          <w:lang w:val="en"/>
        </w:rPr>
      </w:pPr>
      <w:r>
        <w:rPr>
          <w:b/>
          <w:szCs w:val="24"/>
        </w:rPr>
        <w:tab/>
      </w:r>
    </w:p>
    <w:p w:rsidR="003A1740" w:rsidRDefault="003A174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B0F6C" w:rsidRDefault="007F29AB" w:rsidP="007F29AB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CN"/>
        </w:rPr>
        <w:lastRenderedPageBreak/>
        <w:drawing>
          <wp:inline distT="0" distB="0" distL="0" distR="0">
            <wp:extent cx="6029774" cy="5929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m02_t_060711_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774" cy="59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AB" w:rsidRDefault="00D776E9" w:rsidP="007F29AB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29AB" w:rsidRPr="00816A0C">
        <w:rPr>
          <w:b/>
          <w:sz w:val="28"/>
          <w:szCs w:val="28"/>
        </w:rPr>
        <w:t xml:space="preserve">Fig. 1 </w:t>
      </w:r>
      <w:r w:rsidR="00241F56">
        <w:rPr>
          <w:b/>
          <w:sz w:val="28"/>
          <w:szCs w:val="28"/>
        </w:rPr>
        <w:t>ITM05</w:t>
      </w:r>
      <w:r w:rsidR="00B73915">
        <w:rPr>
          <w:b/>
          <w:sz w:val="28"/>
          <w:szCs w:val="28"/>
        </w:rPr>
        <w:t xml:space="preserve"> </w:t>
      </w:r>
      <w:r w:rsidR="007F4C3E">
        <w:rPr>
          <w:b/>
          <w:sz w:val="28"/>
          <w:szCs w:val="28"/>
        </w:rPr>
        <w:t xml:space="preserve">HR </w:t>
      </w:r>
      <w:r>
        <w:rPr>
          <w:b/>
          <w:sz w:val="28"/>
          <w:szCs w:val="28"/>
        </w:rPr>
        <w:t>absorption measurements along X+- and Y+- outside central 120 mm in diameter</w:t>
      </w:r>
      <w:r w:rsidR="007F29AB" w:rsidRPr="00816A0C">
        <w:rPr>
          <w:b/>
          <w:sz w:val="28"/>
          <w:szCs w:val="28"/>
        </w:rPr>
        <w:t>.</w:t>
      </w:r>
    </w:p>
    <w:p w:rsidR="007E6713" w:rsidRPr="007E6713" w:rsidRDefault="007E6713" w:rsidP="007E6713">
      <w:pPr>
        <w:pStyle w:val="numberedparagraph"/>
        <w:numPr>
          <w:ilvl w:val="0"/>
          <w:numId w:val="0"/>
        </w:numPr>
        <w:tabs>
          <w:tab w:val="num" w:pos="810"/>
        </w:tabs>
        <w:rPr>
          <w:b/>
          <w:sz w:val="32"/>
          <w:szCs w:val="32"/>
        </w:rPr>
      </w:pPr>
    </w:p>
    <w:p w:rsidR="00C97793" w:rsidRDefault="00C97793" w:rsidP="00C97793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zh-CN"/>
        </w:rPr>
        <w:lastRenderedPageBreak/>
        <w:drawing>
          <wp:inline distT="0" distB="0" distL="0" distR="0" wp14:anchorId="2F866308" wp14:editId="5191E459">
            <wp:extent cx="5982250" cy="60074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m02_t_060711_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50" cy="600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13" w:rsidRDefault="00D776E9" w:rsidP="007E6713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E6713">
        <w:rPr>
          <w:b/>
          <w:sz w:val="28"/>
          <w:szCs w:val="28"/>
        </w:rPr>
        <w:t>Fig. 2</w:t>
      </w:r>
      <w:r w:rsidR="007E6713" w:rsidRPr="00816A0C">
        <w:rPr>
          <w:b/>
          <w:sz w:val="28"/>
          <w:szCs w:val="28"/>
        </w:rPr>
        <w:t xml:space="preserve"> </w:t>
      </w:r>
      <w:r w:rsidR="00241F56">
        <w:rPr>
          <w:b/>
          <w:sz w:val="28"/>
          <w:szCs w:val="28"/>
        </w:rPr>
        <w:t>ITM05</w:t>
      </w:r>
      <w:r>
        <w:rPr>
          <w:b/>
          <w:sz w:val="28"/>
          <w:szCs w:val="28"/>
        </w:rPr>
        <w:t xml:space="preserve"> AR absorption measurements along X+- and Y+- outside central 120 mm in diameter</w:t>
      </w:r>
      <w:r w:rsidRPr="00816A0C">
        <w:rPr>
          <w:b/>
          <w:sz w:val="28"/>
          <w:szCs w:val="28"/>
        </w:rPr>
        <w:t>.</w:t>
      </w:r>
    </w:p>
    <w:p w:rsidR="00C97793" w:rsidRPr="00816A0C" w:rsidRDefault="00C97793" w:rsidP="007E6713">
      <w:pPr>
        <w:pStyle w:val="numberedparagraph"/>
        <w:numPr>
          <w:ilvl w:val="0"/>
          <w:numId w:val="0"/>
        </w:numPr>
        <w:tabs>
          <w:tab w:val="num" w:pos="810"/>
        </w:tabs>
        <w:rPr>
          <w:b/>
          <w:sz w:val="28"/>
          <w:szCs w:val="28"/>
        </w:rPr>
      </w:pPr>
    </w:p>
    <w:sectPr w:rsidR="00C97793" w:rsidRPr="00816A0C" w:rsidSect="0067184F">
      <w:headerReference w:type="default" r:id="rId9"/>
      <w:footerReference w:type="default" r:id="rId10"/>
      <w:pgSz w:w="12240" w:h="15840" w:code="1"/>
      <w:pgMar w:top="2606" w:right="1267" w:bottom="116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21" w:rsidRDefault="00690521">
      <w:r>
        <w:separator/>
      </w:r>
    </w:p>
  </w:endnote>
  <w:endnote w:type="continuationSeparator" w:id="0">
    <w:p w:rsidR="00690521" w:rsidRDefault="006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A3" w:rsidRDefault="005B1442">
    <w:pPr>
      <w:pStyle w:val="Footer"/>
      <w:jc w:val="right"/>
      <w:rPr>
        <w:sz w:val="18"/>
      </w:rPr>
    </w:pPr>
    <w:r>
      <w:rPr>
        <w:sz w:val="18"/>
      </w:rPr>
      <w:t>LIGO Form F0900006-v2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21" w:rsidRDefault="00690521">
      <w:r>
        <w:separator/>
      </w:r>
    </w:p>
  </w:footnote>
  <w:footnote w:type="continuationSeparator" w:id="0">
    <w:p w:rsidR="00690521" w:rsidRDefault="0069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6" w:type="dxa"/>
      <w:tblInd w:w="-18" w:type="dxa"/>
      <w:tblBorders>
        <w:top w:val="single" w:sz="4" w:space="0" w:color="auto"/>
        <w:bottom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18"/>
      <w:gridCol w:w="6482"/>
      <w:gridCol w:w="1157"/>
      <w:gridCol w:w="629"/>
    </w:tblGrid>
    <w:tr w:rsidR="00AE79A3" w:rsidTr="00DF7DEE">
      <w:trPr>
        <w:cantSplit/>
        <w:trHeight w:val="350"/>
      </w:trPr>
      <w:tc>
        <w:tcPr>
          <w:tcW w:w="1618" w:type="dxa"/>
          <w:vMerge w:val="restart"/>
          <w:tcBorders>
            <w:top w:val="single" w:sz="12" w:space="0" w:color="C0C0C0"/>
            <w:left w:val="single" w:sz="12" w:space="0" w:color="C0C0C0"/>
          </w:tcBorders>
        </w:tcPr>
        <w:p w:rsidR="00AE79A3" w:rsidRDefault="00690521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3" type="#_x0000_t75" style="position:absolute;left:0;text-align:left;margin-left:-3.2pt;margin-top:.2pt;width:78.05pt;height:57pt;z-index:-251658752;mso-wrap-edited:f" wrapcoords="-208 0 -208 21316 21600 21316 21600 0 -208 0" o:allowincell="f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 side="right"/>
              </v:shape>
              <o:OLEObject Type="Embed" ProgID="MSPhotoEd.3" ShapeID="_x0000_s2063" DrawAspect="Content" ObjectID="_1563015585" r:id="rId2"/>
            </w:object>
          </w:r>
        </w:p>
      </w:tc>
      <w:tc>
        <w:tcPr>
          <w:tcW w:w="6482" w:type="dxa"/>
          <w:vMerge w:val="restart"/>
          <w:tcBorders>
            <w:top w:val="single" w:sz="12" w:space="0" w:color="C0C0C0"/>
            <w:bottom w:val="nil"/>
            <w:right w:val="nil"/>
          </w:tcBorders>
        </w:tcPr>
        <w:p w:rsidR="00AE79A3" w:rsidRDefault="00AE79A3" w:rsidP="00DF7DEE">
          <w:pPr>
            <w:pStyle w:val="Header"/>
            <w:jc w:val="left"/>
            <w:rPr>
              <w:b/>
              <w:caps/>
              <w:sz w:val="18"/>
            </w:rPr>
          </w:pPr>
          <w:r>
            <w:rPr>
              <w:b/>
              <w:caps/>
              <w:sz w:val="18"/>
            </w:rPr>
            <w:t>Laser Interferometer Gravitational Wave Observatory</w:t>
          </w:r>
        </w:p>
        <w:p w:rsidR="00AE79A3" w:rsidRDefault="003F7737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32"/>
            </w:rPr>
            <w:t>COC QA Test Report</w:t>
          </w:r>
        </w:p>
      </w:tc>
      <w:tc>
        <w:tcPr>
          <w:tcW w:w="1157" w:type="dxa"/>
          <w:tcBorders>
            <w:top w:val="single" w:sz="12" w:space="0" w:color="C0C0C0"/>
            <w:left w:val="single" w:sz="12" w:space="0" w:color="C0C0C0"/>
            <w:bottom w:val="nil"/>
            <w:right w:val="nil"/>
          </w:tcBorders>
        </w:tcPr>
        <w:p w:rsidR="00AE79A3" w:rsidRPr="00D639FB" w:rsidRDefault="00241F56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E1700270</w:t>
          </w:r>
        </w:p>
      </w:tc>
      <w:tc>
        <w:tcPr>
          <w:tcW w:w="629" w:type="dxa"/>
          <w:tcBorders>
            <w:top w:val="single" w:sz="12" w:space="0" w:color="C0C0C0"/>
            <w:left w:val="nil"/>
            <w:bottom w:val="nil"/>
            <w:right w:val="single" w:sz="12" w:space="0" w:color="C0C0C0"/>
          </w:tcBorders>
        </w:tcPr>
        <w:p w:rsidR="00AE79A3" w:rsidRDefault="00AE79A3" w:rsidP="004D0B06">
          <w:pPr>
            <w:pStyle w:val="Header"/>
            <w:jc w:val="center"/>
            <w:rPr>
              <w:caps/>
              <w:sz w:val="20"/>
            </w:rPr>
          </w:pPr>
          <w:r w:rsidRPr="0065472A">
            <w:rPr>
              <w:sz w:val="20"/>
            </w:rPr>
            <w:t>-v</w:t>
          </w:r>
          <w:r w:rsidR="00DF7DEE">
            <w:rPr>
              <w:sz w:val="20"/>
            </w:rPr>
            <w:t>1</w:t>
          </w:r>
          <w:r>
            <w:rPr>
              <w:caps/>
              <w:sz w:val="20"/>
            </w:rPr>
            <w:t>-</w:t>
          </w:r>
        </w:p>
      </w:tc>
    </w:tr>
    <w:tr w:rsidR="00AE79A3" w:rsidTr="00DF7DEE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157" w:type="dxa"/>
          <w:tcBorders>
            <w:top w:val="nil"/>
            <w:left w:val="single" w:sz="12" w:space="0" w:color="C0C0C0"/>
            <w:bottom w:val="single" w:sz="12" w:space="0" w:color="C0C0C0"/>
            <w:right w:val="nil"/>
          </w:tcBorders>
        </w:tcPr>
        <w:p w:rsidR="00AE79A3" w:rsidRDefault="00AE79A3">
          <w:pPr>
            <w:pStyle w:val="Header"/>
            <w:jc w:val="right"/>
            <w:rPr>
              <w:b/>
              <w:caps/>
              <w:sz w:val="20"/>
            </w:rPr>
          </w:pPr>
          <w:r>
            <w:rPr>
              <w:rFonts w:ascii="Arial Narrow" w:hAnsi="Arial Narrow"/>
              <w:b/>
              <w:sz w:val="16"/>
            </w:rPr>
            <w:t>Document No</w:t>
          </w:r>
        </w:p>
      </w:tc>
      <w:tc>
        <w:tcPr>
          <w:tcW w:w="629" w:type="dxa"/>
          <w:tcBorders>
            <w:top w:val="nil"/>
            <w:left w:val="nil"/>
            <w:bottom w:val="single" w:sz="12" w:space="0" w:color="C0C0C0"/>
            <w:right w:val="single" w:sz="12" w:space="0" w:color="C0C0C0"/>
          </w:tcBorders>
        </w:tcPr>
        <w:p w:rsidR="00AE79A3" w:rsidRDefault="00AE79A3">
          <w:pPr>
            <w:pStyle w:val="Header"/>
            <w:ind w:left="-72"/>
            <w:jc w:val="right"/>
            <w:rPr>
              <w:b/>
              <w:caps/>
            </w:rPr>
          </w:pPr>
          <w:r>
            <w:rPr>
              <w:rFonts w:ascii="Arial Narrow" w:hAnsi="Arial Narrow"/>
              <w:b/>
              <w:sz w:val="16"/>
            </w:rPr>
            <w:t>Rev.</w:t>
          </w:r>
        </w:p>
      </w:tc>
    </w:tr>
    <w:tr w:rsidR="00AE79A3" w:rsidTr="00DF7DEE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  <w:bottom w:val="nil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786" w:type="dxa"/>
          <w:gridSpan w:val="2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:rsidR="00AE79A3" w:rsidRDefault="00AE79A3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sz w:val="20"/>
            </w:rPr>
            <w:t xml:space="preserve">Sheet </w:t>
          </w:r>
          <w:r w:rsidR="00E17DF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E17DF5">
            <w:rPr>
              <w:rStyle w:val="PageNumber"/>
            </w:rPr>
            <w:fldChar w:fldCharType="separate"/>
          </w:r>
          <w:r w:rsidR="005C0FB0">
            <w:rPr>
              <w:rStyle w:val="PageNumber"/>
              <w:noProof/>
            </w:rPr>
            <w:t>2</w:t>
          </w:r>
          <w:r w:rsidR="00E17DF5">
            <w:rPr>
              <w:rStyle w:val="PageNumber"/>
            </w:rPr>
            <w:fldChar w:fldCharType="end"/>
          </w:r>
          <w:r>
            <w:rPr>
              <w:rStyle w:val="PageNumber"/>
              <w:sz w:val="20"/>
            </w:rPr>
            <w:t xml:space="preserve"> </w:t>
          </w:r>
          <w:r>
            <w:rPr>
              <w:sz w:val="20"/>
            </w:rPr>
            <w:t xml:space="preserve">of </w:t>
          </w:r>
          <w:r w:rsidR="00E17DF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E17DF5">
            <w:rPr>
              <w:rStyle w:val="PageNumber"/>
            </w:rPr>
            <w:fldChar w:fldCharType="separate"/>
          </w:r>
          <w:r w:rsidR="005C0FB0">
            <w:rPr>
              <w:rStyle w:val="PageNumber"/>
              <w:noProof/>
            </w:rPr>
            <w:t>3</w:t>
          </w:r>
          <w:r w:rsidR="00E17DF5">
            <w:rPr>
              <w:rStyle w:val="PageNumber"/>
            </w:rPr>
            <w:fldChar w:fldCharType="end"/>
          </w:r>
        </w:p>
      </w:tc>
    </w:tr>
    <w:tr w:rsidR="00AE79A3" w:rsidTr="00DF7DEE">
      <w:trPr>
        <w:cantSplit/>
        <w:trHeight w:val="600"/>
      </w:trPr>
      <w:tc>
        <w:tcPr>
          <w:tcW w:w="9886" w:type="dxa"/>
          <w:gridSpan w:val="4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center"/>
        </w:tcPr>
        <w:p w:rsidR="00C97793" w:rsidRDefault="00241F56" w:rsidP="000749A9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ITM05</w:t>
          </w:r>
          <w:r w:rsidR="00291FA6">
            <w:rPr>
              <w:b/>
              <w:sz w:val="32"/>
            </w:rPr>
            <w:t xml:space="preserve"> </w:t>
          </w:r>
          <w:r w:rsidR="00712BE0">
            <w:rPr>
              <w:b/>
              <w:sz w:val="32"/>
            </w:rPr>
            <w:t xml:space="preserve">HR </w:t>
          </w:r>
          <w:r w:rsidR="00A61CBA">
            <w:rPr>
              <w:b/>
              <w:sz w:val="32"/>
            </w:rPr>
            <w:t>AR Absorption</w:t>
          </w:r>
        </w:p>
      </w:tc>
    </w:tr>
  </w:tbl>
  <w:p w:rsidR="00AE79A3" w:rsidRDefault="00AE79A3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C28CC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7298A2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18B6BC9"/>
    <w:multiLevelType w:val="hybridMultilevel"/>
    <w:tmpl w:val="EC94A182"/>
    <w:lvl w:ilvl="0" w:tplc="C1FEE7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525FB"/>
    <w:multiLevelType w:val="hybridMultilevel"/>
    <w:tmpl w:val="0778D39C"/>
    <w:lvl w:ilvl="0" w:tplc="A6988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F77E1"/>
    <w:multiLevelType w:val="hybridMultilevel"/>
    <w:tmpl w:val="784A4206"/>
    <w:lvl w:ilvl="0" w:tplc="319A5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4636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5B403A2"/>
    <w:multiLevelType w:val="hybridMultilevel"/>
    <w:tmpl w:val="83B896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5722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AFE749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7DE45C8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F9A20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BA007A"/>
    <w:multiLevelType w:val="multilevel"/>
    <w:tmpl w:val="045A714C"/>
    <w:lvl w:ilvl="0">
      <w:start w:val="1"/>
      <w:numFmt w:val="decimal"/>
      <w:pStyle w:val="numberedparagraph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3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</w:lvl>
  </w:abstractNum>
  <w:abstractNum w:abstractNumId="12" w15:restartNumberingAfterBreak="0">
    <w:nsid w:val="555B4D04"/>
    <w:multiLevelType w:val="hybridMultilevel"/>
    <w:tmpl w:val="95D23A3E"/>
    <w:lvl w:ilvl="0" w:tplc="2DD46DFE">
      <w:start w:val="1"/>
      <w:numFmt w:val="lowerLetter"/>
      <w:pStyle w:val="ListNumber4"/>
      <w:lvlText w:val="%1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10D0CB7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62142C5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ABE588F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B321D26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7B4967BE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3"/>
  </w:num>
  <w:num w:numId="17">
    <w:abstractNumId w:val="0"/>
  </w:num>
  <w:num w:numId="18">
    <w:abstractNumId w:val="12"/>
  </w:num>
  <w:num w:numId="19">
    <w:abstractNumId w:val="7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11"/>
    <w:lvlOverride w:ilvl="0">
      <w:startOverride w:val="1"/>
    </w:lvlOverride>
  </w:num>
  <w:num w:numId="25">
    <w:abstractNumId w:val="5"/>
  </w:num>
  <w:num w:numId="26">
    <w:abstractNumId w:val="11"/>
  </w:num>
  <w:num w:numId="27">
    <w:abstractNumId w:val="15"/>
  </w:num>
  <w:num w:numId="28">
    <w:abstractNumId w:val="9"/>
  </w:num>
  <w:num w:numId="29">
    <w:abstractNumId w:val="1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42"/>
    <w:rsid w:val="000014DA"/>
    <w:rsid w:val="00016379"/>
    <w:rsid w:val="00021D41"/>
    <w:rsid w:val="000450B9"/>
    <w:rsid w:val="000548E4"/>
    <w:rsid w:val="000556E6"/>
    <w:rsid w:val="00064DED"/>
    <w:rsid w:val="0007268A"/>
    <w:rsid w:val="000749A9"/>
    <w:rsid w:val="00077AF8"/>
    <w:rsid w:val="00081841"/>
    <w:rsid w:val="000917D3"/>
    <w:rsid w:val="000A0B4A"/>
    <w:rsid w:val="000B0F6C"/>
    <w:rsid w:val="000B6873"/>
    <w:rsid w:val="000B72E7"/>
    <w:rsid w:val="000B7654"/>
    <w:rsid w:val="000D5DEB"/>
    <w:rsid w:val="000D721E"/>
    <w:rsid w:val="000F02A0"/>
    <w:rsid w:val="000F6442"/>
    <w:rsid w:val="000F6CF9"/>
    <w:rsid w:val="00127424"/>
    <w:rsid w:val="0013114E"/>
    <w:rsid w:val="0014642B"/>
    <w:rsid w:val="00146F48"/>
    <w:rsid w:val="00155BAE"/>
    <w:rsid w:val="00166042"/>
    <w:rsid w:val="00182AEC"/>
    <w:rsid w:val="00190D8C"/>
    <w:rsid w:val="001A22C6"/>
    <w:rsid w:val="001A43AF"/>
    <w:rsid w:val="001B28BF"/>
    <w:rsid w:val="001B6BB2"/>
    <w:rsid w:val="001B7003"/>
    <w:rsid w:val="001D71B2"/>
    <w:rsid w:val="001D7449"/>
    <w:rsid w:val="001E53F0"/>
    <w:rsid w:val="001F2686"/>
    <w:rsid w:val="00207EAE"/>
    <w:rsid w:val="00211A35"/>
    <w:rsid w:val="00217511"/>
    <w:rsid w:val="00235342"/>
    <w:rsid w:val="00235D2E"/>
    <w:rsid w:val="00241F56"/>
    <w:rsid w:val="00245383"/>
    <w:rsid w:val="00250E58"/>
    <w:rsid w:val="00262881"/>
    <w:rsid w:val="00263750"/>
    <w:rsid w:val="002642FA"/>
    <w:rsid w:val="002846FF"/>
    <w:rsid w:val="00291FA6"/>
    <w:rsid w:val="002927BB"/>
    <w:rsid w:val="0029696F"/>
    <w:rsid w:val="002D5015"/>
    <w:rsid w:val="002E20FA"/>
    <w:rsid w:val="002F474C"/>
    <w:rsid w:val="002F529F"/>
    <w:rsid w:val="002F5D43"/>
    <w:rsid w:val="003071AE"/>
    <w:rsid w:val="00310D2E"/>
    <w:rsid w:val="003123EC"/>
    <w:rsid w:val="00314048"/>
    <w:rsid w:val="00340D46"/>
    <w:rsid w:val="0035367D"/>
    <w:rsid w:val="00355369"/>
    <w:rsid w:val="00362DDF"/>
    <w:rsid w:val="00371CB2"/>
    <w:rsid w:val="003827B2"/>
    <w:rsid w:val="00393F8A"/>
    <w:rsid w:val="003A1740"/>
    <w:rsid w:val="003B28DC"/>
    <w:rsid w:val="003C23BC"/>
    <w:rsid w:val="003C2C3E"/>
    <w:rsid w:val="003C320B"/>
    <w:rsid w:val="003D72B6"/>
    <w:rsid w:val="003E1558"/>
    <w:rsid w:val="003E2B63"/>
    <w:rsid w:val="003E417B"/>
    <w:rsid w:val="003F443D"/>
    <w:rsid w:val="003F513B"/>
    <w:rsid w:val="003F51E1"/>
    <w:rsid w:val="003F7737"/>
    <w:rsid w:val="003F7ACD"/>
    <w:rsid w:val="004430E1"/>
    <w:rsid w:val="00443FE3"/>
    <w:rsid w:val="00444286"/>
    <w:rsid w:val="00446E2E"/>
    <w:rsid w:val="00452B75"/>
    <w:rsid w:val="00462ACB"/>
    <w:rsid w:val="00472831"/>
    <w:rsid w:val="00481D39"/>
    <w:rsid w:val="00486F6A"/>
    <w:rsid w:val="00490C0A"/>
    <w:rsid w:val="00490DF2"/>
    <w:rsid w:val="004C284A"/>
    <w:rsid w:val="004C43F9"/>
    <w:rsid w:val="004C6B77"/>
    <w:rsid w:val="004D0B06"/>
    <w:rsid w:val="004E6D01"/>
    <w:rsid w:val="004F044F"/>
    <w:rsid w:val="004F0777"/>
    <w:rsid w:val="00504505"/>
    <w:rsid w:val="005129C5"/>
    <w:rsid w:val="00524944"/>
    <w:rsid w:val="00525DF9"/>
    <w:rsid w:val="00526030"/>
    <w:rsid w:val="00532722"/>
    <w:rsid w:val="0054103C"/>
    <w:rsid w:val="00545A3E"/>
    <w:rsid w:val="0056034E"/>
    <w:rsid w:val="0058540C"/>
    <w:rsid w:val="00585D7F"/>
    <w:rsid w:val="00587545"/>
    <w:rsid w:val="0059040F"/>
    <w:rsid w:val="00590D06"/>
    <w:rsid w:val="005931E8"/>
    <w:rsid w:val="00595235"/>
    <w:rsid w:val="005A0B53"/>
    <w:rsid w:val="005B0397"/>
    <w:rsid w:val="005B0F5D"/>
    <w:rsid w:val="005B1442"/>
    <w:rsid w:val="005B309E"/>
    <w:rsid w:val="005B595F"/>
    <w:rsid w:val="005C08BE"/>
    <w:rsid w:val="005C0FB0"/>
    <w:rsid w:val="005D07FD"/>
    <w:rsid w:val="005D152C"/>
    <w:rsid w:val="005D1B90"/>
    <w:rsid w:val="005D248C"/>
    <w:rsid w:val="005D3472"/>
    <w:rsid w:val="005D6831"/>
    <w:rsid w:val="005E253D"/>
    <w:rsid w:val="005E2FF4"/>
    <w:rsid w:val="005F065F"/>
    <w:rsid w:val="005F5BFA"/>
    <w:rsid w:val="00602701"/>
    <w:rsid w:val="00605798"/>
    <w:rsid w:val="006128E7"/>
    <w:rsid w:val="0061632B"/>
    <w:rsid w:val="0062167D"/>
    <w:rsid w:val="006539DE"/>
    <w:rsid w:val="0065472A"/>
    <w:rsid w:val="00664BDC"/>
    <w:rsid w:val="00667A6C"/>
    <w:rsid w:val="0067184F"/>
    <w:rsid w:val="006768DD"/>
    <w:rsid w:val="006802E5"/>
    <w:rsid w:val="00690521"/>
    <w:rsid w:val="00695E34"/>
    <w:rsid w:val="006B3E7B"/>
    <w:rsid w:val="006B5111"/>
    <w:rsid w:val="006B7053"/>
    <w:rsid w:val="006C140A"/>
    <w:rsid w:val="006C1DC5"/>
    <w:rsid w:val="006D1251"/>
    <w:rsid w:val="006D1C41"/>
    <w:rsid w:val="006D3E60"/>
    <w:rsid w:val="006E212F"/>
    <w:rsid w:val="006E5228"/>
    <w:rsid w:val="006E6A8C"/>
    <w:rsid w:val="006F3D59"/>
    <w:rsid w:val="006F6727"/>
    <w:rsid w:val="007052DF"/>
    <w:rsid w:val="007059F5"/>
    <w:rsid w:val="00712BE0"/>
    <w:rsid w:val="00730EA1"/>
    <w:rsid w:val="007337C7"/>
    <w:rsid w:val="00744738"/>
    <w:rsid w:val="007514C1"/>
    <w:rsid w:val="00754EE0"/>
    <w:rsid w:val="007558DB"/>
    <w:rsid w:val="00757B0A"/>
    <w:rsid w:val="00773CA9"/>
    <w:rsid w:val="00776833"/>
    <w:rsid w:val="007816E1"/>
    <w:rsid w:val="00782491"/>
    <w:rsid w:val="0078448B"/>
    <w:rsid w:val="007876E7"/>
    <w:rsid w:val="007978FA"/>
    <w:rsid w:val="007A18E3"/>
    <w:rsid w:val="007B0C25"/>
    <w:rsid w:val="007B4DFA"/>
    <w:rsid w:val="007C03AB"/>
    <w:rsid w:val="007C0A9A"/>
    <w:rsid w:val="007C3E1A"/>
    <w:rsid w:val="007C4C60"/>
    <w:rsid w:val="007C724C"/>
    <w:rsid w:val="007D3F59"/>
    <w:rsid w:val="007E3DFE"/>
    <w:rsid w:val="007E6713"/>
    <w:rsid w:val="007F29AB"/>
    <w:rsid w:val="007F42AA"/>
    <w:rsid w:val="007F4C3E"/>
    <w:rsid w:val="007F6339"/>
    <w:rsid w:val="008004AA"/>
    <w:rsid w:val="0080370A"/>
    <w:rsid w:val="00805CB4"/>
    <w:rsid w:val="008063CF"/>
    <w:rsid w:val="008110A3"/>
    <w:rsid w:val="00812F39"/>
    <w:rsid w:val="00816A0C"/>
    <w:rsid w:val="00816C41"/>
    <w:rsid w:val="00821527"/>
    <w:rsid w:val="00857D17"/>
    <w:rsid w:val="0086113F"/>
    <w:rsid w:val="00861524"/>
    <w:rsid w:val="00866D02"/>
    <w:rsid w:val="00877E5F"/>
    <w:rsid w:val="0088196E"/>
    <w:rsid w:val="00887C52"/>
    <w:rsid w:val="008A4983"/>
    <w:rsid w:val="008B289D"/>
    <w:rsid w:val="008D599B"/>
    <w:rsid w:val="008D60F3"/>
    <w:rsid w:val="008E7B83"/>
    <w:rsid w:val="00903912"/>
    <w:rsid w:val="0092072C"/>
    <w:rsid w:val="00922781"/>
    <w:rsid w:val="00931558"/>
    <w:rsid w:val="0093302F"/>
    <w:rsid w:val="00934218"/>
    <w:rsid w:val="009347B4"/>
    <w:rsid w:val="00935C8D"/>
    <w:rsid w:val="00935E73"/>
    <w:rsid w:val="009518A8"/>
    <w:rsid w:val="00951AF6"/>
    <w:rsid w:val="009530A4"/>
    <w:rsid w:val="00954AD0"/>
    <w:rsid w:val="00955264"/>
    <w:rsid w:val="0097112F"/>
    <w:rsid w:val="009749FB"/>
    <w:rsid w:val="0097623B"/>
    <w:rsid w:val="0098042C"/>
    <w:rsid w:val="00980E80"/>
    <w:rsid w:val="0098108A"/>
    <w:rsid w:val="00984AD3"/>
    <w:rsid w:val="00992EF8"/>
    <w:rsid w:val="00995285"/>
    <w:rsid w:val="009A0661"/>
    <w:rsid w:val="009A386D"/>
    <w:rsid w:val="009A63E4"/>
    <w:rsid w:val="009B6B0A"/>
    <w:rsid w:val="009C45A5"/>
    <w:rsid w:val="009C5FA3"/>
    <w:rsid w:val="009C78A6"/>
    <w:rsid w:val="009E1B6F"/>
    <w:rsid w:val="009F49E9"/>
    <w:rsid w:val="00A14777"/>
    <w:rsid w:val="00A15613"/>
    <w:rsid w:val="00A158BE"/>
    <w:rsid w:val="00A179F2"/>
    <w:rsid w:val="00A2024D"/>
    <w:rsid w:val="00A31D33"/>
    <w:rsid w:val="00A34FBB"/>
    <w:rsid w:val="00A4245D"/>
    <w:rsid w:val="00A446DC"/>
    <w:rsid w:val="00A45C58"/>
    <w:rsid w:val="00A61CBA"/>
    <w:rsid w:val="00A621A8"/>
    <w:rsid w:val="00A65D21"/>
    <w:rsid w:val="00A7504F"/>
    <w:rsid w:val="00A75202"/>
    <w:rsid w:val="00A76CEA"/>
    <w:rsid w:val="00A81B23"/>
    <w:rsid w:val="00A85C9C"/>
    <w:rsid w:val="00AA3E78"/>
    <w:rsid w:val="00AA5E25"/>
    <w:rsid w:val="00AB2098"/>
    <w:rsid w:val="00AC0793"/>
    <w:rsid w:val="00AC4237"/>
    <w:rsid w:val="00AC766C"/>
    <w:rsid w:val="00AD58C7"/>
    <w:rsid w:val="00AE14DC"/>
    <w:rsid w:val="00AE79A3"/>
    <w:rsid w:val="00AF0F6A"/>
    <w:rsid w:val="00AF25C1"/>
    <w:rsid w:val="00AF4E15"/>
    <w:rsid w:val="00AF5C7A"/>
    <w:rsid w:val="00B00EC3"/>
    <w:rsid w:val="00B225D2"/>
    <w:rsid w:val="00B26EE8"/>
    <w:rsid w:val="00B30165"/>
    <w:rsid w:val="00B30BB1"/>
    <w:rsid w:val="00B32DC0"/>
    <w:rsid w:val="00B3312C"/>
    <w:rsid w:val="00B33A6C"/>
    <w:rsid w:val="00B41BB9"/>
    <w:rsid w:val="00B4520E"/>
    <w:rsid w:val="00B461CD"/>
    <w:rsid w:val="00B4722D"/>
    <w:rsid w:val="00B52213"/>
    <w:rsid w:val="00B56816"/>
    <w:rsid w:val="00B62A3E"/>
    <w:rsid w:val="00B632E5"/>
    <w:rsid w:val="00B70FC2"/>
    <w:rsid w:val="00B73915"/>
    <w:rsid w:val="00B773A5"/>
    <w:rsid w:val="00B7762A"/>
    <w:rsid w:val="00B80071"/>
    <w:rsid w:val="00B81101"/>
    <w:rsid w:val="00B92BDC"/>
    <w:rsid w:val="00BB4F69"/>
    <w:rsid w:val="00BC0B55"/>
    <w:rsid w:val="00BC553F"/>
    <w:rsid w:val="00BD228C"/>
    <w:rsid w:val="00BD2BEA"/>
    <w:rsid w:val="00BE01F8"/>
    <w:rsid w:val="00BE1988"/>
    <w:rsid w:val="00BF1373"/>
    <w:rsid w:val="00BF3247"/>
    <w:rsid w:val="00C05869"/>
    <w:rsid w:val="00C06ED2"/>
    <w:rsid w:val="00C1389D"/>
    <w:rsid w:val="00C16A5C"/>
    <w:rsid w:val="00C2097A"/>
    <w:rsid w:val="00C22D2E"/>
    <w:rsid w:val="00C24C8E"/>
    <w:rsid w:val="00C41B39"/>
    <w:rsid w:val="00C62589"/>
    <w:rsid w:val="00C66CE6"/>
    <w:rsid w:val="00C72555"/>
    <w:rsid w:val="00C77E51"/>
    <w:rsid w:val="00C87BC5"/>
    <w:rsid w:val="00C95EAA"/>
    <w:rsid w:val="00C95F1E"/>
    <w:rsid w:val="00C97793"/>
    <w:rsid w:val="00CA1526"/>
    <w:rsid w:val="00CA3F9D"/>
    <w:rsid w:val="00CB0D50"/>
    <w:rsid w:val="00CB436B"/>
    <w:rsid w:val="00CB595B"/>
    <w:rsid w:val="00CB7620"/>
    <w:rsid w:val="00CC3365"/>
    <w:rsid w:val="00CC3A89"/>
    <w:rsid w:val="00CC463A"/>
    <w:rsid w:val="00CC7425"/>
    <w:rsid w:val="00CD1A12"/>
    <w:rsid w:val="00CD3D02"/>
    <w:rsid w:val="00CD72F0"/>
    <w:rsid w:val="00CE3712"/>
    <w:rsid w:val="00CE3B40"/>
    <w:rsid w:val="00CE3F05"/>
    <w:rsid w:val="00CE6312"/>
    <w:rsid w:val="00CF08F2"/>
    <w:rsid w:val="00D00A97"/>
    <w:rsid w:val="00D03282"/>
    <w:rsid w:val="00D0651B"/>
    <w:rsid w:val="00D1066B"/>
    <w:rsid w:val="00D2404E"/>
    <w:rsid w:val="00D244D1"/>
    <w:rsid w:val="00D33DCA"/>
    <w:rsid w:val="00D36DED"/>
    <w:rsid w:val="00D503D0"/>
    <w:rsid w:val="00D639FB"/>
    <w:rsid w:val="00D64BFE"/>
    <w:rsid w:val="00D72459"/>
    <w:rsid w:val="00D73577"/>
    <w:rsid w:val="00D776E9"/>
    <w:rsid w:val="00D85692"/>
    <w:rsid w:val="00D90C75"/>
    <w:rsid w:val="00DB3014"/>
    <w:rsid w:val="00DB641E"/>
    <w:rsid w:val="00DC47CA"/>
    <w:rsid w:val="00DE2BD1"/>
    <w:rsid w:val="00DE60F2"/>
    <w:rsid w:val="00DF75F8"/>
    <w:rsid w:val="00DF7DEE"/>
    <w:rsid w:val="00E16C0E"/>
    <w:rsid w:val="00E17DF5"/>
    <w:rsid w:val="00E216DC"/>
    <w:rsid w:val="00E2229D"/>
    <w:rsid w:val="00E2786C"/>
    <w:rsid w:val="00E27B7F"/>
    <w:rsid w:val="00E4573F"/>
    <w:rsid w:val="00E53B55"/>
    <w:rsid w:val="00E64535"/>
    <w:rsid w:val="00E70211"/>
    <w:rsid w:val="00E715FF"/>
    <w:rsid w:val="00E841EC"/>
    <w:rsid w:val="00E91176"/>
    <w:rsid w:val="00EB2A03"/>
    <w:rsid w:val="00EC4C85"/>
    <w:rsid w:val="00EE65EC"/>
    <w:rsid w:val="00EE6EF2"/>
    <w:rsid w:val="00EF6F2F"/>
    <w:rsid w:val="00EF707B"/>
    <w:rsid w:val="00EF7300"/>
    <w:rsid w:val="00F00F62"/>
    <w:rsid w:val="00F03E0B"/>
    <w:rsid w:val="00F07A7B"/>
    <w:rsid w:val="00F1186A"/>
    <w:rsid w:val="00F13455"/>
    <w:rsid w:val="00F2227E"/>
    <w:rsid w:val="00F22B42"/>
    <w:rsid w:val="00F2502F"/>
    <w:rsid w:val="00F25374"/>
    <w:rsid w:val="00F341E0"/>
    <w:rsid w:val="00F41312"/>
    <w:rsid w:val="00F419A3"/>
    <w:rsid w:val="00F41D4B"/>
    <w:rsid w:val="00F578AD"/>
    <w:rsid w:val="00F60CA6"/>
    <w:rsid w:val="00F6263F"/>
    <w:rsid w:val="00F64AE4"/>
    <w:rsid w:val="00F6705A"/>
    <w:rsid w:val="00F761C5"/>
    <w:rsid w:val="00F85111"/>
    <w:rsid w:val="00FA09C0"/>
    <w:rsid w:val="00FB58CC"/>
    <w:rsid w:val="00FC4888"/>
    <w:rsid w:val="00FD1759"/>
    <w:rsid w:val="00FE3832"/>
    <w:rsid w:val="00FF044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5D436D56"/>
  <w15:docId w15:val="{D552C087-4C2F-4405-A896-3ED14401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25"/>
    <w:rPr>
      <w:lang w:eastAsia="en-US"/>
    </w:rPr>
  </w:style>
  <w:style w:type="paragraph" w:styleId="Heading1">
    <w:name w:val="heading 1"/>
    <w:basedOn w:val="Normal"/>
    <w:next w:val="BodyText"/>
    <w:qFormat/>
    <w:rsid w:val="007B0C2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odyText"/>
    <w:qFormat/>
    <w:rsid w:val="00F1186A"/>
    <w:pPr>
      <w:keepNext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8184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B0C2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B0C2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0C2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0C2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B0C2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B0C2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0C25"/>
    <w:pPr>
      <w:tabs>
        <w:tab w:val="center" w:pos="4320"/>
        <w:tab w:val="right" w:pos="8640"/>
      </w:tabs>
      <w:spacing w:before="120"/>
      <w:jc w:val="both"/>
    </w:pPr>
    <w:rPr>
      <w:sz w:val="24"/>
    </w:rPr>
  </w:style>
  <w:style w:type="paragraph" w:styleId="Footer">
    <w:name w:val="footer"/>
    <w:basedOn w:val="Normal"/>
    <w:rsid w:val="007B0C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0C25"/>
  </w:style>
  <w:style w:type="table" w:styleId="TableGrid">
    <w:name w:val="Table Grid"/>
    <w:basedOn w:val="TableNormal"/>
    <w:rsid w:val="00CA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E1B6F"/>
    <w:pPr>
      <w:spacing w:after="120"/>
    </w:pPr>
    <w:rPr>
      <w:sz w:val="24"/>
    </w:rPr>
  </w:style>
  <w:style w:type="paragraph" w:customStyle="1" w:styleId="StyleArialNarrowLatinBoldCentered">
    <w:name w:val="Style Arial Narrow (Latin) Bold Centered"/>
    <w:basedOn w:val="Normal"/>
    <w:rsid w:val="00524944"/>
    <w:pPr>
      <w:jc w:val="center"/>
    </w:pPr>
    <w:rPr>
      <w:rFonts w:ascii="Arial Narrow" w:hAnsi="Arial Narrow"/>
      <w:b/>
      <w:sz w:val="24"/>
    </w:rPr>
  </w:style>
  <w:style w:type="paragraph" w:customStyle="1" w:styleId="StyleFooterArialNarrowLatinBold">
    <w:name w:val="Style Footer + Arial Narrow (Latin) Bold"/>
    <w:basedOn w:val="Footer"/>
    <w:rsid w:val="00524944"/>
    <w:rPr>
      <w:rFonts w:ascii="Arial Narrow" w:hAnsi="Arial Narrow"/>
      <w:b/>
      <w:sz w:val="24"/>
    </w:rPr>
  </w:style>
  <w:style w:type="character" w:customStyle="1" w:styleId="StyleArialNarrowLatinBold">
    <w:name w:val="Style Arial Narrow (Latin) Bold"/>
    <w:basedOn w:val="DefaultParagraphFont"/>
    <w:rsid w:val="00524944"/>
    <w:rPr>
      <w:rFonts w:ascii="Arial Narrow" w:hAnsi="Arial Narrow"/>
      <w:b/>
      <w:sz w:val="24"/>
    </w:rPr>
  </w:style>
  <w:style w:type="paragraph" w:customStyle="1" w:styleId="numberedparagraph">
    <w:name w:val="numbered paragraph"/>
    <w:basedOn w:val="BodyText"/>
    <w:rsid w:val="00250E58"/>
    <w:pPr>
      <w:numPr>
        <w:numId w:val="32"/>
      </w:numPr>
    </w:pPr>
  </w:style>
  <w:style w:type="paragraph" w:styleId="Caption">
    <w:name w:val="caption"/>
    <w:basedOn w:val="Normal"/>
    <w:next w:val="Normal"/>
    <w:qFormat/>
    <w:rsid w:val="00081841"/>
    <w:rPr>
      <w:b/>
      <w:bCs/>
      <w:sz w:val="24"/>
    </w:rPr>
  </w:style>
  <w:style w:type="character" w:styleId="CommentReference">
    <w:name w:val="annotation reference"/>
    <w:basedOn w:val="DefaultParagraphFont"/>
    <w:semiHidden/>
    <w:rsid w:val="00EC4C85"/>
    <w:rPr>
      <w:sz w:val="16"/>
      <w:szCs w:val="16"/>
    </w:rPr>
  </w:style>
  <w:style w:type="paragraph" w:styleId="CommentText">
    <w:name w:val="annotation text"/>
    <w:basedOn w:val="Normal"/>
    <w:semiHidden/>
    <w:rsid w:val="00EC4C85"/>
  </w:style>
  <w:style w:type="paragraph" w:styleId="CommentSubject">
    <w:name w:val="annotation subject"/>
    <w:basedOn w:val="CommentText"/>
    <w:next w:val="CommentText"/>
    <w:semiHidden/>
    <w:rsid w:val="00EC4C85"/>
    <w:rPr>
      <w:b/>
      <w:bCs/>
    </w:rPr>
  </w:style>
  <w:style w:type="paragraph" w:styleId="BalloonText">
    <w:name w:val="Balloon Text"/>
    <w:basedOn w:val="Normal"/>
    <w:semiHidden/>
    <w:rsid w:val="00EC4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3F8A"/>
    <w:rPr>
      <w:color w:val="0044B3"/>
      <w:u w:val="single"/>
      <w:bdr w:val="none" w:sz="0" w:space="0" w:color="auto" w:frame="1"/>
    </w:rPr>
  </w:style>
  <w:style w:type="character" w:styleId="Strong">
    <w:name w:val="Strong"/>
    <w:basedOn w:val="DefaultParagraphFont"/>
    <w:qFormat/>
    <w:rsid w:val="00393F8A"/>
    <w:rPr>
      <w:b/>
      <w:bCs/>
    </w:rPr>
  </w:style>
  <w:style w:type="paragraph" w:customStyle="1" w:styleId="line903">
    <w:name w:val="line903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customStyle="1" w:styleId="line886">
    <w:name w:val="line886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styleId="ListNumber4">
    <w:name w:val="List Number 4"/>
    <w:basedOn w:val="Normal"/>
    <w:rsid w:val="00B32DC0"/>
    <w:pPr>
      <w:numPr>
        <w:numId w:val="18"/>
      </w:numPr>
    </w:pPr>
    <w:rPr>
      <w:sz w:val="24"/>
    </w:rPr>
  </w:style>
  <w:style w:type="paragraph" w:styleId="ListNumber3">
    <w:name w:val="List Number 3"/>
    <w:basedOn w:val="Normal"/>
    <w:rsid w:val="00F60CA6"/>
    <w:pPr>
      <w:numPr>
        <w:ilvl w:val="1"/>
        <w:numId w:val="32"/>
      </w:numPr>
    </w:pPr>
    <w:rPr>
      <w:sz w:val="24"/>
    </w:rPr>
  </w:style>
  <w:style w:type="character" w:styleId="FollowedHyperlink">
    <w:name w:val="FollowedHyperlink"/>
    <w:basedOn w:val="DefaultParagraphFont"/>
    <w:rsid w:val="00931558"/>
    <w:rPr>
      <w:color w:val="800080"/>
      <w:u w:val="single"/>
    </w:rPr>
  </w:style>
  <w:style w:type="paragraph" w:customStyle="1" w:styleId="Default">
    <w:name w:val="Default"/>
    <w:rsid w:val="00AB209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APPROVALS</vt:lpstr>
    </vt:vector>
  </TitlesOfParts>
  <Company>Cal Tech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APPROVALS</dc:title>
  <dc:creator>GariLynn Billingsley</dc:creator>
  <cp:lastModifiedBy>lzhang</cp:lastModifiedBy>
  <cp:revision>149</cp:revision>
  <cp:lastPrinted>2017-07-31T21:12:00Z</cp:lastPrinted>
  <dcterms:created xsi:type="dcterms:W3CDTF">2010-12-08T20:20:00Z</dcterms:created>
  <dcterms:modified xsi:type="dcterms:W3CDTF">2017-07-31T21:13:00Z</dcterms:modified>
</cp:coreProperties>
</file>