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70" w:rsidRPr="00796D9A" w:rsidRDefault="00F36E70">
      <w:pPr>
        <w:pStyle w:val="Header"/>
        <w:tabs>
          <w:tab w:val="clear" w:pos="4320"/>
          <w:tab w:val="clear" w:pos="8640"/>
        </w:tabs>
        <w:rPr>
          <w:rFonts w:ascii="Arial" w:hAnsi="Arial" w:cs="Arial"/>
          <w:sz w:val="24"/>
          <w:szCs w:val="24"/>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8928"/>
      </w:tblGrid>
      <w:tr w:rsidR="00F36E70" w:rsidTr="00F94405">
        <w:trPr>
          <w:trHeight w:val="314"/>
        </w:trPr>
        <w:tc>
          <w:tcPr>
            <w:tcW w:w="1170" w:type="dxa"/>
            <w:vAlign w:val="center"/>
          </w:tcPr>
          <w:p w:rsidR="00F36E70" w:rsidRDefault="00F36E70" w:rsidP="00FE0048">
            <w:pPr>
              <w:rPr>
                <w:rFonts w:ascii="Arial" w:hAnsi="Arial" w:cs="Arial"/>
                <w:sz w:val="24"/>
              </w:rPr>
            </w:pPr>
            <w:r>
              <w:rPr>
                <w:rFonts w:ascii="Arial" w:hAnsi="Arial" w:cs="Arial"/>
                <w:sz w:val="24"/>
              </w:rPr>
              <w:t>Date:</w:t>
            </w:r>
          </w:p>
        </w:tc>
        <w:tc>
          <w:tcPr>
            <w:tcW w:w="8928" w:type="dxa"/>
            <w:vAlign w:val="center"/>
          </w:tcPr>
          <w:p w:rsidR="00F36E70" w:rsidRDefault="00CF358A">
            <w:pPr>
              <w:pStyle w:val="Style1"/>
            </w:pPr>
            <w:r>
              <w:t>8</w:t>
            </w:r>
            <w:r w:rsidR="001421A0">
              <w:t xml:space="preserve"> Apr 2016</w:t>
            </w:r>
          </w:p>
        </w:tc>
      </w:tr>
      <w:tr w:rsidR="00FE0048" w:rsidTr="00F94405">
        <w:trPr>
          <w:trHeight w:val="332"/>
        </w:trPr>
        <w:tc>
          <w:tcPr>
            <w:tcW w:w="1170" w:type="dxa"/>
            <w:vAlign w:val="center"/>
          </w:tcPr>
          <w:p w:rsidR="00FE0048" w:rsidRDefault="00FE0048" w:rsidP="00FE0048">
            <w:pPr>
              <w:rPr>
                <w:rFonts w:ascii="Arial" w:hAnsi="Arial" w:cs="Arial"/>
                <w:sz w:val="24"/>
              </w:rPr>
            </w:pPr>
            <w:r>
              <w:rPr>
                <w:rFonts w:ascii="Arial" w:hAnsi="Arial" w:cs="Arial"/>
                <w:sz w:val="24"/>
              </w:rPr>
              <w:t>Refer to:</w:t>
            </w:r>
          </w:p>
        </w:tc>
        <w:tc>
          <w:tcPr>
            <w:tcW w:w="8928" w:type="dxa"/>
            <w:vAlign w:val="center"/>
          </w:tcPr>
          <w:p w:rsidR="00FE0048" w:rsidRDefault="00D83453" w:rsidP="005D0DE7">
            <w:pPr>
              <w:pStyle w:val="Style1"/>
            </w:pPr>
            <w:r>
              <w:t>L</w:t>
            </w:r>
            <w:r w:rsidR="001421A0">
              <w:t>1600062</w:t>
            </w:r>
            <w:r w:rsidR="0029414A">
              <w:t>-v1</w:t>
            </w:r>
          </w:p>
        </w:tc>
      </w:tr>
      <w:tr w:rsidR="00F36E70" w:rsidTr="00F94405">
        <w:trPr>
          <w:trHeight w:val="332"/>
        </w:trPr>
        <w:tc>
          <w:tcPr>
            <w:tcW w:w="1170" w:type="dxa"/>
            <w:vAlign w:val="center"/>
          </w:tcPr>
          <w:p w:rsidR="00F36E70" w:rsidRDefault="00FE0048" w:rsidP="00FE0048">
            <w:pPr>
              <w:rPr>
                <w:rFonts w:ascii="Arial" w:hAnsi="Arial" w:cs="Arial"/>
                <w:sz w:val="24"/>
              </w:rPr>
            </w:pPr>
            <w:r>
              <w:rPr>
                <w:rFonts w:ascii="Arial" w:hAnsi="Arial" w:cs="Arial"/>
                <w:sz w:val="24"/>
              </w:rPr>
              <w:t>Subject:</w:t>
            </w:r>
          </w:p>
        </w:tc>
        <w:tc>
          <w:tcPr>
            <w:tcW w:w="8928" w:type="dxa"/>
            <w:vAlign w:val="center"/>
          </w:tcPr>
          <w:p w:rsidR="00F36E70" w:rsidRDefault="00390D38" w:rsidP="001421A0">
            <w:pPr>
              <w:pStyle w:val="Style1"/>
            </w:pPr>
            <w:r>
              <w:t>Review Committee Report</w:t>
            </w:r>
            <w:r w:rsidR="004A7054">
              <w:t>:</w:t>
            </w:r>
            <w:r w:rsidR="00D018E3">
              <w:t xml:space="preserve"> </w:t>
            </w:r>
            <w:r w:rsidR="001421A0">
              <w:t>Non-Magnetic Blade-spring Damper (NMBD)</w:t>
            </w:r>
          </w:p>
        </w:tc>
      </w:tr>
      <w:tr w:rsidR="00FE0048" w:rsidTr="00F94405">
        <w:trPr>
          <w:trHeight w:val="332"/>
        </w:trPr>
        <w:tc>
          <w:tcPr>
            <w:tcW w:w="1170" w:type="dxa"/>
            <w:vAlign w:val="center"/>
          </w:tcPr>
          <w:p w:rsidR="00FE0048" w:rsidRDefault="00FE0048" w:rsidP="00FE0048">
            <w:pPr>
              <w:rPr>
                <w:rFonts w:ascii="Arial" w:hAnsi="Arial" w:cs="Arial"/>
                <w:sz w:val="24"/>
              </w:rPr>
            </w:pPr>
            <w:r>
              <w:rPr>
                <w:rFonts w:ascii="Arial" w:hAnsi="Arial" w:cs="Arial"/>
                <w:sz w:val="24"/>
              </w:rPr>
              <w:t>From:</w:t>
            </w:r>
          </w:p>
        </w:tc>
        <w:tc>
          <w:tcPr>
            <w:tcW w:w="8928" w:type="dxa"/>
            <w:vAlign w:val="center"/>
          </w:tcPr>
          <w:p w:rsidR="00FE0048" w:rsidRPr="002B2D48" w:rsidRDefault="004F5550" w:rsidP="004F5550">
            <w:pPr>
              <w:pStyle w:val="Style1"/>
            </w:pPr>
            <w:r>
              <w:t>Review</w:t>
            </w:r>
            <w:r w:rsidR="00D018E3">
              <w:t xml:space="preserve"> committee</w:t>
            </w:r>
            <w:r w:rsidR="00866D38">
              <w:t>:</w:t>
            </w:r>
            <w:r w:rsidR="00584482">
              <w:br/>
            </w:r>
            <w:r w:rsidR="001421A0">
              <w:t>Dennis Coyne (chair), Giles Hammond, Brian O’Reilly</w:t>
            </w:r>
            <w:r w:rsidR="00502FA1">
              <w:t>, Brett Shapiro</w:t>
            </w:r>
          </w:p>
        </w:tc>
      </w:tr>
    </w:tbl>
    <w:p w:rsidR="00FE0048" w:rsidRDefault="00FE0048" w:rsidP="00FE0048">
      <w:pPr>
        <w:jc w:val="both"/>
        <w:rPr>
          <w:rFonts w:ascii="Arial" w:hAnsi="Arial" w:cs="Arial"/>
          <w:sz w:val="24"/>
        </w:rPr>
      </w:pPr>
    </w:p>
    <w:p w:rsidR="00C72898" w:rsidRDefault="00C72898" w:rsidP="00BF628E">
      <w:pPr>
        <w:pStyle w:val="Heading2"/>
      </w:pPr>
      <w:r>
        <w:t>Recommendation</w:t>
      </w:r>
    </w:p>
    <w:p w:rsidR="00C72898" w:rsidRPr="006178BA" w:rsidRDefault="00C72898" w:rsidP="00C72898">
      <w:pPr>
        <w:jc w:val="both"/>
        <w:rPr>
          <w:rFonts w:ascii="Arial" w:hAnsi="Arial" w:cs="Arial"/>
          <w:sz w:val="24"/>
        </w:rPr>
      </w:pPr>
      <w:r>
        <w:rPr>
          <w:rFonts w:ascii="Arial" w:hAnsi="Arial" w:cs="Arial"/>
          <w:sz w:val="24"/>
        </w:rPr>
        <w:t xml:space="preserve">We </w:t>
      </w:r>
      <w:r w:rsidR="004F5550">
        <w:rPr>
          <w:rFonts w:ascii="Arial" w:hAnsi="Arial" w:cs="Arial"/>
          <w:sz w:val="24"/>
        </w:rPr>
        <w:t xml:space="preserve">recommend that the project proceed with </w:t>
      </w:r>
      <w:r w:rsidR="00677E5F">
        <w:rPr>
          <w:rFonts w:ascii="Arial" w:hAnsi="Arial" w:cs="Arial"/>
          <w:sz w:val="24"/>
        </w:rPr>
        <w:t>installation of the Non-Magnetic Blade-spring Damper (NMBD).</w:t>
      </w:r>
    </w:p>
    <w:p w:rsidR="006178BA" w:rsidRPr="006178BA" w:rsidRDefault="00BF628E" w:rsidP="00BF628E">
      <w:pPr>
        <w:pStyle w:val="Heading2"/>
        <w:rPr>
          <w:sz w:val="24"/>
        </w:rPr>
      </w:pPr>
      <w:r>
        <w:t>Background</w:t>
      </w:r>
    </w:p>
    <w:p w:rsidR="00814A6A" w:rsidRPr="00814A6A" w:rsidRDefault="00814A6A" w:rsidP="00814A6A">
      <w:pPr>
        <w:jc w:val="both"/>
        <w:rPr>
          <w:rFonts w:ascii="Arial" w:hAnsi="Arial" w:cs="Arial"/>
          <w:sz w:val="24"/>
        </w:rPr>
      </w:pPr>
      <w:r w:rsidRPr="00814A6A">
        <w:rPr>
          <w:rFonts w:ascii="Arial" w:hAnsi="Arial" w:cs="Arial"/>
          <w:sz w:val="24"/>
        </w:rPr>
        <w:t>The purpose of the Non-Magnetic, Blade-spring Damper (NMBD), D1400298, is to damp the first internal mode of the blade-spring of the Upper Intermediate Mass (UIM) of the quadruple pendulum suspension. The development team (</w:t>
      </w:r>
      <w:proofErr w:type="spellStart"/>
      <w:r w:rsidRPr="00814A6A">
        <w:rPr>
          <w:rFonts w:ascii="Arial" w:hAnsi="Arial" w:cs="Arial"/>
          <w:sz w:val="24"/>
        </w:rPr>
        <w:t>Calum</w:t>
      </w:r>
      <w:proofErr w:type="spellEnd"/>
      <w:r>
        <w:rPr>
          <w:rFonts w:ascii="Arial" w:hAnsi="Arial" w:cs="Arial"/>
          <w:sz w:val="24"/>
        </w:rPr>
        <w:t xml:space="preserve"> </w:t>
      </w:r>
      <w:proofErr w:type="spellStart"/>
      <w:r>
        <w:rPr>
          <w:rFonts w:ascii="Arial" w:hAnsi="Arial" w:cs="Arial"/>
          <w:sz w:val="24"/>
        </w:rPr>
        <w:t>Torrie</w:t>
      </w:r>
      <w:proofErr w:type="spellEnd"/>
      <w:r w:rsidRPr="00814A6A">
        <w:rPr>
          <w:rFonts w:ascii="Arial" w:hAnsi="Arial" w:cs="Arial"/>
          <w:sz w:val="24"/>
        </w:rPr>
        <w:t xml:space="preserve">, </w:t>
      </w:r>
      <w:proofErr w:type="spellStart"/>
      <w:r w:rsidRPr="00814A6A">
        <w:rPr>
          <w:rFonts w:ascii="Arial" w:hAnsi="Arial" w:cs="Arial"/>
          <w:sz w:val="24"/>
        </w:rPr>
        <w:t>Norna</w:t>
      </w:r>
      <w:proofErr w:type="spellEnd"/>
      <w:r>
        <w:rPr>
          <w:rFonts w:ascii="Arial" w:hAnsi="Arial" w:cs="Arial"/>
          <w:sz w:val="24"/>
        </w:rPr>
        <w:t xml:space="preserve"> Robertson</w:t>
      </w:r>
      <w:r w:rsidRPr="00814A6A">
        <w:rPr>
          <w:rFonts w:ascii="Arial" w:hAnsi="Arial" w:cs="Arial"/>
          <w:sz w:val="24"/>
        </w:rPr>
        <w:t>, Eddie</w:t>
      </w:r>
      <w:r>
        <w:rPr>
          <w:rFonts w:ascii="Arial" w:hAnsi="Arial" w:cs="Arial"/>
          <w:sz w:val="24"/>
        </w:rPr>
        <w:t xml:space="preserve"> Sanchez</w:t>
      </w:r>
      <w:r w:rsidRPr="00814A6A">
        <w:rPr>
          <w:rFonts w:ascii="Arial" w:hAnsi="Arial" w:cs="Arial"/>
          <w:sz w:val="24"/>
        </w:rPr>
        <w:t>, Gary</w:t>
      </w:r>
      <w:r>
        <w:rPr>
          <w:rFonts w:ascii="Arial" w:hAnsi="Arial" w:cs="Arial"/>
          <w:sz w:val="24"/>
        </w:rPr>
        <w:t xml:space="preserve"> Traylor</w:t>
      </w:r>
      <w:r w:rsidRPr="00814A6A">
        <w:rPr>
          <w:rFonts w:ascii="Arial" w:hAnsi="Arial" w:cs="Arial"/>
          <w:sz w:val="24"/>
        </w:rPr>
        <w:t>, Betsy</w:t>
      </w:r>
      <w:r>
        <w:rPr>
          <w:rFonts w:ascii="Arial" w:hAnsi="Arial" w:cs="Arial"/>
          <w:sz w:val="24"/>
        </w:rPr>
        <w:t xml:space="preserve"> Bland</w:t>
      </w:r>
      <w:r w:rsidRPr="00814A6A">
        <w:rPr>
          <w:rFonts w:ascii="Arial" w:hAnsi="Arial" w:cs="Arial"/>
          <w:sz w:val="24"/>
        </w:rPr>
        <w:t xml:space="preserve">, et. al.) have finished testing and (due to the urgent schedule needs) are into fabrication in support of the current vacuum vent activities at LLO. This </w:t>
      </w:r>
      <w:r>
        <w:rPr>
          <w:rFonts w:ascii="Arial" w:hAnsi="Arial" w:cs="Arial"/>
          <w:sz w:val="24"/>
        </w:rPr>
        <w:t>technical</w:t>
      </w:r>
      <w:r w:rsidRPr="00814A6A">
        <w:rPr>
          <w:rFonts w:ascii="Arial" w:hAnsi="Arial" w:cs="Arial"/>
          <w:sz w:val="24"/>
        </w:rPr>
        <w:t xml:space="preserve"> review </w:t>
      </w:r>
      <w:r>
        <w:rPr>
          <w:rFonts w:ascii="Arial" w:hAnsi="Arial" w:cs="Arial"/>
          <w:sz w:val="24"/>
        </w:rPr>
        <w:t xml:space="preserve">is of </w:t>
      </w:r>
      <w:r w:rsidRPr="00814A6A">
        <w:rPr>
          <w:rFonts w:ascii="Arial" w:hAnsi="Arial" w:cs="Arial"/>
          <w:sz w:val="24"/>
        </w:rPr>
        <w:t xml:space="preserve">the design, </w:t>
      </w:r>
      <w:r w:rsidR="00502FA1">
        <w:rPr>
          <w:rFonts w:ascii="Arial" w:hAnsi="Arial" w:cs="Arial"/>
          <w:sz w:val="24"/>
        </w:rPr>
        <w:t xml:space="preserve">performance </w:t>
      </w:r>
      <w:r w:rsidRPr="00814A6A">
        <w:rPr>
          <w:rFonts w:ascii="Arial" w:hAnsi="Arial" w:cs="Arial"/>
          <w:sz w:val="24"/>
        </w:rPr>
        <w:t>testing and planned installation procedures.</w:t>
      </w:r>
    </w:p>
    <w:p w:rsidR="00814A6A" w:rsidRPr="00814A6A" w:rsidRDefault="00814A6A" w:rsidP="00814A6A">
      <w:pPr>
        <w:jc w:val="both"/>
        <w:rPr>
          <w:rFonts w:ascii="Arial" w:hAnsi="Arial" w:cs="Arial"/>
          <w:sz w:val="24"/>
        </w:rPr>
      </w:pPr>
    </w:p>
    <w:p w:rsidR="00814A6A" w:rsidRPr="00814A6A" w:rsidRDefault="00814A6A" w:rsidP="00814A6A">
      <w:pPr>
        <w:jc w:val="both"/>
        <w:rPr>
          <w:rFonts w:ascii="Arial" w:hAnsi="Arial" w:cs="Arial"/>
          <w:sz w:val="24"/>
        </w:rPr>
      </w:pPr>
      <w:r>
        <w:rPr>
          <w:rFonts w:ascii="Arial" w:hAnsi="Arial" w:cs="Arial"/>
          <w:sz w:val="24"/>
        </w:rPr>
        <w:t>We</w:t>
      </w:r>
      <w:r w:rsidRPr="00814A6A">
        <w:rPr>
          <w:rFonts w:ascii="Arial" w:hAnsi="Arial" w:cs="Arial"/>
          <w:sz w:val="24"/>
        </w:rPr>
        <w:t xml:space="preserve"> review</w:t>
      </w:r>
      <w:r>
        <w:rPr>
          <w:rFonts w:ascii="Arial" w:hAnsi="Arial" w:cs="Arial"/>
          <w:sz w:val="24"/>
        </w:rPr>
        <w:t>ed</w:t>
      </w:r>
      <w:r w:rsidRPr="00814A6A">
        <w:rPr>
          <w:rFonts w:ascii="Arial" w:hAnsi="Arial" w:cs="Arial"/>
          <w:sz w:val="24"/>
        </w:rPr>
        <w:t xml:space="preserve"> the following documents and </w:t>
      </w:r>
      <w:r>
        <w:rPr>
          <w:rFonts w:ascii="Arial" w:hAnsi="Arial" w:cs="Arial"/>
          <w:sz w:val="24"/>
        </w:rPr>
        <w:t>teleconferenced</w:t>
      </w:r>
      <w:r w:rsidRPr="00814A6A">
        <w:rPr>
          <w:rFonts w:ascii="Arial" w:hAnsi="Arial" w:cs="Arial"/>
          <w:sz w:val="24"/>
        </w:rPr>
        <w:t xml:space="preserve"> with </w:t>
      </w:r>
      <w:proofErr w:type="spellStart"/>
      <w:r w:rsidRPr="00814A6A">
        <w:rPr>
          <w:rFonts w:ascii="Arial" w:hAnsi="Arial" w:cs="Arial"/>
          <w:sz w:val="24"/>
        </w:rPr>
        <w:t>Norna</w:t>
      </w:r>
      <w:proofErr w:type="spellEnd"/>
      <w:r w:rsidRPr="00814A6A">
        <w:rPr>
          <w:rFonts w:ascii="Arial" w:hAnsi="Arial" w:cs="Arial"/>
          <w:sz w:val="24"/>
        </w:rPr>
        <w:t xml:space="preserve"> and </w:t>
      </w:r>
      <w:proofErr w:type="spellStart"/>
      <w:r w:rsidRPr="00814A6A">
        <w:rPr>
          <w:rFonts w:ascii="Arial" w:hAnsi="Arial" w:cs="Arial"/>
          <w:sz w:val="24"/>
        </w:rPr>
        <w:t>Calum</w:t>
      </w:r>
      <w:proofErr w:type="spellEnd"/>
      <w:r w:rsidRPr="00814A6A">
        <w:rPr>
          <w:rFonts w:ascii="Arial" w:hAnsi="Arial" w:cs="Arial"/>
          <w:sz w:val="24"/>
        </w:rPr>
        <w:t xml:space="preserve"> </w:t>
      </w:r>
      <w:r>
        <w:rPr>
          <w:rFonts w:ascii="Arial" w:hAnsi="Arial" w:cs="Arial"/>
          <w:sz w:val="24"/>
        </w:rPr>
        <w:t>on April 6</w:t>
      </w:r>
      <w:r w:rsidRPr="00814A6A">
        <w:rPr>
          <w:rFonts w:ascii="Arial" w:hAnsi="Arial" w:cs="Arial"/>
          <w:sz w:val="24"/>
          <w:vertAlign w:val="superscript"/>
        </w:rPr>
        <w:t>th</w:t>
      </w:r>
      <w:r>
        <w:rPr>
          <w:rFonts w:ascii="Arial" w:hAnsi="Arial" w:cs="Arial"/>
          <w:sz w:val="24"/>
        </w:rPr>
        <w:t xml:space="preserve"> to review comments, questions and </w:t>
      </w:r>
      <w:r w:rsidRPr="00814A6A">
        <w:rPr>
          <w:rFonts w:ascii="Arial" w:hAnsi="Arial" w:cs="Arial"/>
          <w:sz w:val="24"/>
        </w:rPr>
        <w:t>d</w:t>
      </w:r>
      <w:r>
        <w:rPr>
          <w:rFonts w:ascii="Arial" w:hAnsi="Arial" w:cs="Arial"/>
          <w:sz w:val="24"/>
        </w:rPr>
        <w:t>efine follow-up actions</w:t>
      </w:r>
      <w:r w:rsidRPr="00814A6A">
        <w:rPr>
          <w:rFonts w:ascii="Arial" w:hAnsi="Arial" w:cs="Arial"/>
          <w:sz w:val="24"/>
        </w:rPr>
        <w:t>.</w:t>
      </w:r>
    </w:p>
    <w:p w:rsidR="00814A6A" w:rsidRPr="00814A6A" w:rsidRDefault="00814A6A" w:rsidP="00814A6A">
      <w:pPr>
        <w:jc w:val="both"/>
        <w:rPr>
          <w:rFonts w:ascii="Arial" w:hAnsi="Arial" w:cs="Arial"/>
          <w:sz w:val="24"/>
        </w:rPr>
      </w:pPr>
    </w:p>
    <w:p w:rsidR="00814A6A" w:rsidRPr="00814A6A" w:rsidRDefault="007B238B" w:rsidP="009F0E45">
      <w:pPr>
        <w:numPr>
          <w:ilvl w:val="0"/>
          <w:numId w:val="47"/>
        </w:numPr>
        <w:jc w:val="both"/>
        <w:rPr>
          <w:rFonts w:ascii="Arial" w:hAnsi="Arial" w:cs="Arial"/>
          <w:sz w:val="24"/>
        </w:rPr>
      </w:pPr>
      <w:hyperlink r:id="rId8" w:history="1">
        <w:r w:rsidR="00814A6A" w:rsidRPr="007B238B">
          <w:rPr>
            <w:rStyle w:val="Hyperlink"/>
            <w:rFonts w:ascii="Arial" w:hAnsi="Arial" w:cs="Arial"/>
            <w:sz w:val="24"/>
          </w:rPr>
          <w:t>T1600046</w:t>
        </w:r>
      </w:hyperlink>
      <w:r w:rsidR="00814A6A" w:rsidRPr="00814A6A">
        <w:rPr>
          <w:rFonts w:ascii="Arial" w:hAnsi="Arial" w:cs="Arial"/>
          <w:sz w:val="24"/>
        </w:rPr>
        <w:t xml:space="preserve">: </w:t>
      </w:r>
      <w:r w:rsidR="009F0E45">
        <w:rPr>
          <w:rFonts w:ascii="Arial" w:hAnsi="Arial" w:cs="Arial"/>
          <w:sz w:val="24"/>
        </w:rPr>
        <w:t>Requirements, recent results and conclusions from t</w:t>
      </w:r>
      <w:r w:rsidR="00814A6A" w:rsidRPr="00814A6A">
        <w:rPr>
          <w:rFonts w:ascii="Arial" w:hAnsi="Arial" w:cs="Arial"/>
          <w:sz w:val="24"/>
        </w:rPr>
        <w:t>es</w:t>
      </w:r>
      <w:r w:rsidR="009F0E45">
        <w:rPr>
          <w:rFonts w:ascii="Arial" w:hAnsi="Arial" w:cs="Arial"/>
          <w:sz w:val="24"/>
        </w:rPr>
        <w:t>ting</w:t>
      </w:r>
      <w:r w:rsidR="00814A6A" w:rsidRPr="00814A6A">
        <w:rPr>
          <w:rFonts w:ascii="Arial" w:hAnsi="Arial" w:cs="Arial"/>
          <w:sz w:val="24"/>
        </w:rPr>
        <w:t xml:space="preserve"> of the UIM </w:t>
      </w:r>
      <w:r>
        <w:rPr>
          <w:rFonts w:ascii="Arial" w:hAnsi="Arial" w:cs="Arial"/>
          <w:sz w:val="24"/>
        </w:rPr>
        <w:t>NMBD</w:t>
      </w:r>
      <w:r w:rsidR="00814A6A" w:rsidRPr="00814A6A">
        <w:rPr>
          <w:rFonts w:ascii="Arial" w:hAnsi="Arial" w:cs="Arial"/>
          <w:sz w:val="24"/>
        </w:rPr>
        <w:t xml:space="preserve"> </w:t>
      </w:r>
    </w:p>
    <w:p w:rsidR="00814A6A" w:rsidRPr="00814A6A" w:rsidRDefault="007B238B" w:rsidP="009F0E45">
      <w:pPr>
        <w:numPr>
          <w:ilvl w:val="0"/>
          <w:numId w:val="47"/>
        </w:numPr>
        <w:jc w:val="both"/>
        <w:rPr>
          <w:rFonts w:ascii="Arial" w:hAnsi="Arial" w:cs="Arial"/>
          <w:sz w:val="24"/>
        </w:rPr>
      </w:pPr>
      <w:hyperlink r:id="rId9" w:history="1">
        <w:r w:rsidR="00814A6A" w:rsidRPr="007B238B">
          <w:rPr>
            <w:rStyle w:val="Hyperlink"/>
            <w:rFonts w:ascii="Arial" w:hAnsi="Arial" w:cs="Arial"/>
            <w:sz w:val="24"/>
          </w:rPr>
          <w:t>E1600011</w:t>
        </w:r>
      </w:hyperlink>
      <w:r w:rsidR="00814A6A" w:rsidRPr="00814A6A">
        <w:rPr>
          <w:rFonts w:ascii="Arial" w:hAnsi="Arial" w:cs="Arial"/>
          <w:sz w:val="24"/>
        </w:rPr>
        <w:t>: BRD and Blade Damper instal</w:t>
      </w:r>
      <w:r w:rsidR="00502FA1">
        <w:rPr>
          <w:rFonts w:ascii="Arial" w:hAnsi="Arial" w:cs="Arial"/>
          <w:sz w:val="24"/>
        </w:rPr>
        <w:t>lation procedure in UIM in-situ</w:t>
      </w:r>
    </w:p>
    <w:p w:rsidR="00814A6A" w:rsidRPr="00814A6A" w:rsidRDefault="00814A6A" w:rsidP="00814A6A">
      <w:pPr>
        <w:jc w:val="both"/>
        <w:rPr>
          <w:rFonts w:ascii="Arial" w:hAnsi="Arial" w:cs="Arial"/>
          <w:sz w:val="24"/>
        </w:rPr>
      </w:pPr>
    </w:p>
    <w:p w:rsidR="006178BA" w:rsidRPr="006178BA" w:rsidRDefault="009F0E45" w:rsidP="00814A6A">
      <w:pPr>
        <w:jc w:val="both"/>
        <w:rPr>
          <w:rFonts w:ascii="Arial" w:hAnsi="Arial" w:cs="Arial"/>
          <w:sz w:val="24"/>
        </w:rPr>
      </w:pPr>
      <w:r>
        <w:rPr>
          <w:rFonts w:ascii="Arial" w:hAnsi="Arial" w:cs="Arial"/>
          <w:sz w:val="24"/>
        </w:rPr>
        <w:t>O</w:t>
      </w:r>
      <w:r w:rsidR="00814A6A" w:rsidRPr="00814A6A">
        <w:rPr>
          <w:rFonts w:ascii="Arial" w:hAnsi="Arial" w:cs="Arial"/>
          <w:sz w:val="24"/>
        </w:rPr>
        <w:t xml:space="preserve">ther documentation regarding the non-magnetic, UIM blade spring damper are </w:t>
      </w:r>
      <w:r w:rsidR="007B238B">
        <w:rPr>
          <w:rFonts w:ascii="Arial" w:hAnsi="Arial" w:cs="Arial"/>
          <w:sz w:val="24"/>
        </w:rPr>
        <w:t>collected at (</w:t>
      </w:r>
      <w:r w:rsidR="00814A6A" w:rsidRPr="00814A6A">
        <w:rPr>
          <w:rFonts w:ascii="Arial" w:hAnsi="Arial" w:cs="Arial"/>
          <w:sz w:val="24"/>
        </w:rPr>
        <w:t>linked from</w:t>
      </w:r>
      <w:r w:rsidR="007B238B">
        <w:rPr>
          <w:rFonts w:ascii="Arial" w:hAnsi="Arial" w:cs="Arial"/>
          <w:sz w:val="24"/>
        </w:rPr>
        <w:t>)</w:t>
      </w:r>
      <w:r w:rsidR="00814A6A" w:rsidRPr="00814A6A">
        <w:rPr>
          <w:rFonts w:ascii="Arial" w:hAnsi="Arial" w:cs="Arial"/>
          <w:sz w:val="24"/>
        </w:rPr>
        <w:t xml:space="preserve"> </w:t>
      </w:r>
      <w:hyperlink r:id="rId10" w:history="1">
        <w:r w:rsidR="00814A6A" w:rsidRPr="007B238B">
          <w:rPr>
            <w:rStyle w:val="Hyperlink"/>
            <w:rFonts w:ascii="Arial" w:hAnsi="Arial" w:cs="Arial"/>
            <w:sz w:val="24"/>
          </w:rPr>
          <w:t>E1600007</w:t>
        </w:r>
      </w:hyperlink>
      <w:r w:rsidR="00814A6A" w:rsidRPr="00814A6A">
        <w:rPr>
          <w:rFonts w:ascii="Arial" w:hAnsi="Arial" w:cs="Arial"/>
          <w:sz w:val="24"/>
        </w:rPr>
        <w:t>.</w:t>
      </w:r>
      <w:r w:rsidR="002911C6">
        <w:rPr>
          <w:rFonts w:ascii="Arial" w:hAnsi="Arial" w:cs="Arial"/>
          <w:sz w:val="24"/>
        </w:rPr>
        <w:t xml:space="preserve"> (Some questions and answers are also posted as an</w:t>
      </w:r>
      <w:r w:rsidR="006F0ECA">
        <w:rPr>
          <w:rFonts w:ascii="Arial" w:hAnsi="Arial" w:cs="Arial"/>
          <w:sz w:val="24"/>
        </w:rPr>
        <w:t xml:space="preserve"> “other file” in the DCC entry for </w:t>
      </w:r>
      <w:hyperlink r:id="rId11" w:history="1">
        <w:r w:rsidR="006F0ECA" w:rsidRPr="007B238B">
          <w:rPr>
            <w:rStyle w:val="Hyperlink"/>
            <w:rFonts w:ascii="Arial" w:hAnsi="Arial" w:cs="Arial"/>
            <w:sz w:val="24"/>
          </w:rPr>
          <w:t>T1600046</w:t>
        </w:r>
      </w:hyperlink>
      <w:r w:rsidR="006F0ECA">
        <w:rPr>
          <w:rFonts w:ascii="Arial" w:hAnsi="Arial" w:cs="Arial"/>
          <w:sz w:val="24"/>
        </w:rPr>
        <w:t>.)</w:t>
      </w:r>
    </w:p>
    <w:p w:rsidR="002B7E1E" w:rsidRDefault="002B7E1E" w:rsidP="002B7E1E">
      <w:pPr>
        <w:pStyle w:val="Heading2"/>
      </w:pPr>
      <w:r>
        <w:lastRenderedPageBreak/>
        <w:t>Actions</w:t>
      </w:r>
    </w:p>
    <w:p w:rsidR="008B6F2E" w:rsidRPr="008B6F2E" w:rsidRDefault="008B6F2E" w:rsidP="008B6F2E">
      <w:pPr>
        <w:rPr>
          <w:rFonts w:ascii="Arial" w:hAnsi="Arial" w:cs="Arial"/>
          <w:sz w:val="24"/>
          <w:szCs w:val="24"/>
        </w:rPr>
      </w:pPr>
      <w:r>
        <w:rPr>
          <w:rFonts w:ascii="Arial" w:hAnsi="Arial" w:cs="Arial"/>
          <w:sz w:val="24"/>
          <w:szCs w:val="24"/>
        </w:rPr>
        <w:t>The following actions are required follow up to the review.</w:t>
      </w:r>
    </w:p>
    <w:p w:rsidR="00A767DA" w:rsidRDefault="00877E55" w:rsidP="00502FA1">
      <w:pPr>
        <w:numPr>
          <w:ilvl w:val="0"/>
          <w:numId w:val="43"/>
        </w:numPr>
        <w:jc w:val="both"/>
        <w:rPr>
          <w:rFonts w:ascii="Arial" w:hAnsi="Arial" w:cs="Arial"/>
          <w:sz w:val="24"/>
        </w:rPr>
      </w:pPr>
      <w:r w:rsidRPr="00877E55">
        <w:rPr>
          <w:rFonts w:ascii="Arial" w:hAnsi="Arial" w:cs="Arial"/>
          <w:sz w:val="24"/>
          <w:u w:val="single"/>
        </w:rPr>
        <w:t>Assembly temperature</w:t>
      </w:r>
      <w:r>
        <w:rPr>
          <w:rFonts w:ascii="Arial" w:hAnsi="Arial" w:cs="Arial"/>
          <w:sz w:val="24"/>
        </w:rPr>
        <w:t xml:space="preserve">: </w:t>
      </w:r>
      <w:r w:rsidR="00A767DA">
        <w:rPr>
          <w:rFonts w:ascii="Arial" w:hAnsi="Arial" w:cs="Arial"/>
          <w:sz w:val="24"/>
        </w:rPr>
        <w:t xml:space="preserve">Due to a </w:t>
      </w:r>
      <w:r w:rsidR="00E157F5">
        <w:rPr>
          <w:rFonts w:ascii="Arial" w:hAnsi="Arial" w:cs="Arial"/>
          <w:sz w:val="24"/>
        </w:rPr>
        <w:t xml:space="preserve">concern </w:t>
      </w:r>
      <w:r w:rsidR="00A767DA">
        <w:rPr>
          <w:rFonts w:ascii="Arial" w:hAnsi="Arial" w:cs="Arial"/>
          <w:sz w:val="24"/>
        </w:rPr>
        <w:t xml:space="preserve">that the viscoelastic damping performance may be temperature dependent, the units should be assembled and their damping performance tuned/tested in a lab at approximately the same temperature as the LVEA/VEA environments at the observatories. </w:t>
      </w:r>
    </w:p>
    <w:p w:rsidR="00A767DA" w:rsidRPr="00A767DA" w:rsidRDefault="00A767DA" w:rsidP="00A767DA">
      <w:pPr>
        <w:ind w:left="720"/>
        <w:jc w:val="both"/>
        <w:rPr>
          <w:rFonts w:ascii="Arial" w:hAnsi="Arial" w:cs="Arial"/>
          <w:i/>
          <w:color w:val="7F7F7F" w:themeColor="text1" w:themeTint="80"/>
          <w:sz w:val="24"/>
        </w:rPr>
      </w:pPr>
      <w:r w:rsidRPr="00A767DA">
        <w:rPr>
          <w:rFonts w:ascii="Arial" w:hAnsi="Arial" w:cs="Arial"/>
          <w:i/>
          <w:color w:val="7F7F7F" w:themeColor="text1" w:themeTint="80"/>
          <w:sz w:val="24"/>
        </w:rPr>
        <w:t>Done: Subsequent to the meeting, the lab in which the NMBD are assembled, tuned and tested, was set to 68 F, the same temperature intended for the LVEA/VEA spaces at LLO. In addition, an analysis</w:t>
      </w:r>
      <w:r w:rsidR="00EB28A4">
        <w:rPr>
          <w:rFonts w:ascii="Arial" w:hAnsi="Arial" w:cs="Arial"/>
          <w:i/>
          <w:color w:val="7F7F7F" w:themeColor="text1" w:themeTint="80"/>
          <w:sz w:val="24"/>
        </w:rPr>
        <w:t>/estimate</w:t>
      </w:r>
      <w:r w:rsidR="00F91E09">
        <w:rPr>
          <w:rFonts w:ascii="Arial" w:hAnsi="Arial" w:cs="Arial"/>
          <w:i/>
          <w:color w:val="7F7F7F" w:themeColor="text1" w:themeTint="80"/>
          <w:sz w:val="24"/>
        </w:rPr>
        <w:t xml:space="preserve"> (</w:t>
      </w:r>
      <w:hyperlink r:id="rId12" w:history="1">
        <w:r w:rsidR="00F91E09" w:rsidRPr="00F91E09">
          <w:rPr>
            <w:rStyle w:val="Hyperlink"/>
            <w:rFonts w:ascii="Arial" w:hAnsi="Arial" w:cs="Arial"/>
            <w:i/>
            <w:sz w:val="24"/>
          </w:rPr>
          <w:t>T1600098</w:t>
        </w:r>
      </w:hyperlink>
      <w:r w:rsidR="00F91E09">
        <w:rPr>
          <w:rFonts w:ascii="Arial" w:hAnsi="Arial" w:cs="Arial"/>
          <w:i/>
          <w:color w:val="7F7F7F" w:themeColor="text1" w:themeTint="80"/>
          <w:sz w:val="24"/>
        </w:rPr>
        <w:t>)</w:t>
      </w:r>
      <w:r w:rsidRPr="00A767DA">
        <w:rPr>
          <w:rFonts w:ascii="Arial" w:hAnsi="Arial" w:cs="Arial"/>
          <w:i/>
          <w:color w:val="7F7F7F" w:themeColor="text1" w:themeTint="80"/>
          <w:sz w:val="24"/>
        </w:rPr>
        <w:t xml:space="preserve"> of the likely change in damping performance indicates that units tuned/tested at 75 F, </w:t>
      </w:r>
      <w:r w:rsidR="00EB28A4">
        <w:rPr>
          <w:rFonts w:ascii="Arial" w:hAnsi="Arial" w:cs="Arial"/>
          <w:i/>
          <w:color w:val="7F7F7F" w:themeColor="text1" w:themeTint="80"/>
          <w:sz w:val="24"/>
        </w:rPr>
        <w:t>sh</w:t>
      </w:r>
      <w:r w:rsidRPr="00A767DA">
        <w:rPr>
          <w:rFonts w:ascii="Arial" w:hAnsi="Arial" w:cs="Arial"/>
          <w:i/>
          <w:color w:val="7F7F7F" w:themeColor="text1" w:themeTint="80"/>
          <w:sz w:val="24"/>
        </w:rPr>
        <w:t xml:space="preserve">ould experience </w:t>
      </w:r>
      <w:r w:rsidR="00943CF4">
        <w:rPr>
          <w:rFonts w:ascii="Arial" w:hAnsi="Arial" w:cs="Arial"/>
          <w:i/>
          <w:color w:val="7F7F7F" w:themeColor="text1" w:themeTint="80"/>
          <w:sz w:val="24"/>
        </w:rPr>
        <w:t xml:space="preserve">only </w:t>
      </w:r>
      <w:r w:rsidRPr="00A767DA">
        <w:rPr>
          <w:rFonts w:ascii="Arial" w:hAnsi="Arial" w:cs="Arial"/>
          <w:i/>
          <w:color w:val="7F7F7F" w:themeColor="text1" w:themeTint="80"/>
          <w:sz w:val="24"/>
        </w:rPr>
        <w:t xml:space="preserve">about a ~14% increase in Q when employed at 65 F, i.e. </w:t>
      </w:r>
      <w:r w:rsidR="00EB28A4">
        <w:rPr>
          <w:rFonts w:ascii="Arial" w:hAnsi="Arial" w:cs="Arial"/>
          <w:i/>
          <w:color w:val="7F7F7F" w:themeColor="text1" w:themeTint="80"/>
          <w:sz w:val="24"/>
        </w:rPr>
        <w:t>an acceptable variation</w:t>
      </w:r>
      <w:r w:rsidRPr="00A767DA">
        <w:rPr>
          <w:rFonts w:ascii="Arial" w:hAnsi="Arial" w:cs="Arial"/>
          <w:i/>
          <w:color w:val="7F7F7F" w:themeColor="text1" w:themeTint="80"/>
          <w:sz w:val="24"/>
        </w:rPr>
        <w:t>.</w:t>
      </w:r>
    </w:p>
    <w:p w:rsidR="00877E55" w:rsidRDefault="00877E55" w:rsidP="00846C6A">
      <w:pPr>
        <w:numPr>
          <w:ilvl w:val="0"/>
          <w:numId w:val="43"/>
        </w:numPr>
        <w:jc w:val="both"/>
        <w:rPr>
          <w:rFonts w:ascii="Arial" w:hAnsi="Arial" w:cs="Arial"/>
          <w:sz w:val="24"/>
        </w:rPr>
      </w:pPr>
      <w:r w:rsidRPr="00877E55">
        <w:rPr>
          <w:rFonts w:ascii="Arial" w:hAnsi="Arial" w:cs="Arial"/>
          <w:sz w:val="24"/>
          <w:u w:val="single"/>
        </w:rPr>
        <w:t>Venting</w:t>
      </w:r>
      <w:r>
        <w:rPr>
          <w:rFonts w:ascii="Arial" w:hAnsi="Arial" w:cs="Arial"/>
          <w:sz w:val="24"/>
        </w:rPr>
        <w:t xml:space="preserve">: </w:t>
      </w:r>
      <w:r w:rsidR="000D62A0">
        <w:rPr>
          <w:rFonts w:ascii="Arial" w:hAnsi="Arial" w:cs="Arial"/>
          <w:sz w:val="24"/>
        </w:rPr>
        <w:t>The design has a trapped</w:t>
      </w:r>
      <w:bookmarkStart w:id="0" w:name="_GoBack"/>
      <w:bookmarkEnd w:id="0"/>
      <w:r w:rsidR="000D62A0">
        <w:rPr>
          <w:rFonts w:ascii="Arial" w:hAnsi="Arial" w:cs="Arial"/>
          <w:sz w:val="24"/>
        </w:rPr>
        <w:t xml:space="preserve"> volume which must be vented either (a) with a groove in the bracket at the location where either </w:t>
      </w:r>
      <w:proofErr w:type="spellStart"/>
      <w:r w:rsidR="000D62A0">
        <w:rPr>
          <w:rFonts w:ascii="Arial" w:hAnsi="Arial" w:cs="Arial"/>
          <w:sz w:val="24"/>
        </w:rPr>
        <w:t>Flourel</w:t>
      </w:r>
      <w:proofErr w:type="spellEnd"/>
      <w:r w:rsidR="000D62A0">
        <w:rPr>
          <w:rFonts w:ascii="Arial" w:hAnsi="Arial" w:cs="Arial"/>
          <w:sz w:val="24"/>
        </w:rPr>
        <w:t xml:space="preserve"> Spring/Damper sits, or (b) with a vented #2-56 screw.</w:t>
      </w:r>
    </w:p>
    <w:p w:rsidR="00877E55" w:rsidRDefault="000D62A0" w:rsidP="000D62A0">
      <w:pPr>
        <w:ind w:left="1440"/>
        <w:jc w:val="both"/>
      </w:pPr>
      <w:r w:rsidRPr="00877E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66.6pt;height:301.2pt">
            <v:imagedata r:id="rId13" o:title=""/>
          </v:shape>
        </w:pict>
      </w:r>
    </w:p>
    <w:p w:rsidR="000D62A0" w:rsidRPr="000D62A0" w:rsidRDefault="000D62A0" w:rsidP="000D62A0">
      <w:pPr>
        <w:ind w:left="720"/>
        <w:jc w:val="both"/>
        <w:rPr>
          <w:rFonts w:ascii="Arial" w:hAnsi="Arial" w:cs="Arial"/>
          <w:i/>
          <w:color w:val="7F7F7F" w:themeColor="text1" w:themeTint="80"/>
          <w:sz w:val="24"/>
          <w:szCs w:val="24"/>
        </w:rPr>
      </w:pPr>
      <w:r w:rsidRPr="000D62A0">
        <w:rPr>
          <w:rFonts w:ascii="Arial" w:hAnsi="Arial" w:cs="Arial"/>
          <w:i/>
          <w:color w:val="7F7F7F" w:themeColor="text1" w:themeTint="80"/>
          <w:sz w:val="24"/>
          <w:szCs w:val="24"/>
        </w:rPr>
        <w:t xml:space="preserve">Done: Subsequent to the meeting a groove was added to the brackets for the assemblies intended for LLO’s ITMs. Future units will incorporate a vented #2-56 screw. </w:t>
      </w:r>
    </w:p>
    <w:p w:rsidR="00A767DA" w:rsidRDefault="00276A64" w:rsidP="00846C6A">
      <w:pPr>
        <w:numPr>
          <w:ilvl w:val="0"/>
          <w:numId w:val="43"/>
        </w:numPr>
        <w:jc w:val="both"/>
        <w:rPr>
          <w:rFonts w:ascii="Arial" w:hAnsi="Arial" w:cs="Arial"/>
          <w:sz w:val="24"/>
        </w:rPr>
      </w:pPr>
      <w:r w:rsidRPr="00950BC1">
        <w:rPr>
          <w:rFonts w:ascii="Arial" w:hAnsi="Arial" w:cs="Arial"/>
          <w:sz w:val="24"/>
          <w:u w:val="single"/>
        </w:rPr>
        <w:t>Mitigate a</w:t>
      </w:r>
      <w:r w:rsidR="001A6F12" w:rsidRPr="00950BC1">
        <w:rPr>
          <w:rFonts w:ascii="Arial" w:hAnsi="Arial" w:cs="Arial"/>
          <w:sz w:val="24"/>
          <w:u w:val="single"/>
        </w:rPr>
        <w:t>ccelerometer</w:t>
      </w:r>
      <w:r w:rsidRPr="00950BC1">
        <w:rPr>
          <w:rFonts w:ascii="Arial" w:hAnsi="Arial" w:cs="Arial"/>
          <w:sz w:val="24"/>
          <w:u w:val="single"/>
        </w:rPr>
        <w:t xml:space="preserve"> effects on damping measurements</w:t>
      </w:r>
      <w:r>
        <w:rPr>
          <w:rFonts w:ascii="Arial" w:hAnsi="Arial" w:cs="Arial"/>
          <w:sz w:val="24"/>
        </w:rPr>
        <w:t xml:space="preserve">: The lack of damping measurement repeatability in tuning the NMBD, presumably due to the accelerometer mass, adhesive (bee’s wax) and cabling should be either mitigated by moving the accelerometer to the clamped end of the blade spring, or eliminated by using a non-contact vibration sensor (e.g. a laser </w:t>
      </w:r>
      <w:proofErr w:type="spellStart"/>
      <w:r>
        <w:rPr>
          <w:rFonts w:ascii="Arial" w:hAnsi="Arial" w:cs="Arial"/>
          <w:sz w:val="24"/>
        </w:rPr>
        <w:t>vibrometer</w:t>
      </w:r>
      <w:proofErr w:type="spellEnd"/>
      <w:r>
        <w:rPr>
          <w:rFonts w:ascii="Arial" w:hAnsi="Arial" w:cs="Arial"/>
          <w:sz w:val="24"/>
        </w:rPr>
        <w:t>).</w:t>
      </w:r>
    </w:p>
    <w:p w:rsidR="00276A64" w:rsidRPr="003C1B88" w:rsidRDefault="00276A64" w:rsidP="00276A64">
      <w:pPr>
        <w:ind w:left="720"/>
        <w:jc w:val="both"/>
        <w:rPr>
          <w:rFonts w:ascii="Arial" w:hAnsi="Arial" w:cs="Arial"/>
          <w:i/>
          <w:color w:val="7F7F7F" w:themeColor="text1" w:themeTint="80"/>
          <w:sz w:val="24"/>
        </w:rPr>
      </w:pPr>
      <w:r w:rsidRPr="003C1B88">
        <w:rPr>
          <w:rFonts w:ascii="Arial" w:hAnsi="Arial" w:cs="Arial"/>
          <w:i/>
          <w:color w:val="7F7F7F" w:themeColor="text1" w:themeTint="80"/>
          <w:sz w:val="24"/>
        </w:rPr>
        <w:t xml:space="preserve">Done: The final testing of the assemblies was performed with the accelerometer mounted next to the blade spring clamp. The measurements are now much more repeatable </w:t>
      </w:r>
      <w:r w:rsidR="003C1B88" w:rsidRPr="003C1B88">
        <w:rPr>
          <w:rFonts w:ascii="Arial" w:hAnsi="Arial" w:cs="Arial"/>
          <w:i/>
          <w:color w:val="7F7F7F" w:themeColor="text1" w:themeTint="80"/>
          <w:sz w:val="24"/>
        </w:rPr>
        <w:t>and less sensitive to the accelerometer cable dressing.</w:t>
      </w:r>
    </w:p>
    <w:p w:rsidR="00770DE1" w:rsidRDefault="00950BC1" w:rsidP="00846C6A">
      <w:pPr>
        <w:numPr>
          <w:ilvl w:val="0"/>
          <w:numId w:val="43"/>
        </w:numPr>
        <w:jc w:val="both"/>
        <w:rPr>
          <w:rFonts w:ascii="Arial" w:hAnsi="Arial" w:cs="Arial"/>
          <w:sz w:val="24"/>
        </w:rPr>
      </w:pPr>
      <w:r w:rsidRPr="00950BC1">
        <w:rPr>
          <w:rFonts w:ascii="Arial" w:hAnsi="Arial" w:cs="Arial"/>
          <w:sz w:val="24"/>
          <w:u w:val="single"/>
        </w:rPr>
        <w:t>Installation Procedure</w:t>
      </w:r>
      <w:r>
        <w:rPr>
          <w:rFonts w:ascii="Arial" w:hAnsi="Arial" w:cs="Arial"/>
          <w:sz w:val="24"/>
        </w:rPr>
        <w:t xml:space="preserve">: </w:t>
      </w:r>
      <w:r w:rsidR="006C7992" w:rsidRPr="006C7992">
        <w:rPr>
          <w:rFonts w:ascii="Arial" w:hAnsi="Arial" w:cs="Arial"/>
          <w:sz w:val="24"/>
        </w:rPr>
        <w:t xml:space="preserve">The </w:t>
      </w:r>
      <w:r w:rsidR="00846C6A">
        <w:rPr>
          <w:rFonts w:ascii="Arial" w:hAnsi="Arial" w:cs="Arial"/>
          <w:sz w:val="24"/>
        </w:rPr>
        <w:t xml:space="preserve">installation “procedure” </w:t>
      </w:r>
      <w:r w:rsidR="006C7992" w:rsidRPr="006C7992">
        <w:rPr>
          <w:rFonts w:ascii="Arial" w:hAnsi="Arial" w:cs="Arial"/>
          <w:sz w:val="24"/>
        </w:rPr>
        <w:t>document</w:t>
      </w:r>
      <w:r w:rsidR="00846C6A">
        <w:rPr>
          <w:rFonts w:ascii="Arial" w:hAnsi="Arial" w:cs="Arial"/>
          <w:sz w:val="24"/>
        </w:rPr>
        <w:t>,</w:t>
      </w:r>
      <w:r w:rsidR="006C7992" w:rsidRPr="006C7992">
        <w:rPr>
          <w:rFonts w:ascii="Arial" w:hAnsi="Arial" w:cs="Arial"/>
          <w:sz w:val="24"/>
        </w:rPr>
        <w:t xml:space="preserve"> </w:t>
      </w:r>
      <w:hyperlink r:id="rId14" w:history="1">
        <w:r w:rsidR="006C7992" w:rsidRPr="00791402">
          <w:rPr>
            <w:rStyle w:val="Hyperlink"/>
            <w:rFonts w:ascii="Arial" w:hAnsi="Arial" w:cs="Arial"/>
            <w:sz w:val="24"/>
          </w:rPr>
          <w:t>E1600011</w:t>
        </w:r>
      </w:hyperlink>
      <w:r w:rsidR="006C7992" w:rsidRPr="006C7992">
        <w:rPr>
          <w:rFonts w:ascii="Arial" w:hAnsi="Arial" w:cs="Arial"/>
          <w:sz w:val="24"/>
        </w:rPr>
        <w:t>-v2</w:t>
      </w:r>
      <w:r w:rsidR="00846C6A">
        <w:rPr>
          <w:rFonts w:ascii="Arial" w:hAnsi="Arial" w:cs="Arial"/>
          <w:sz w:val="24"/>
        </w:rPr>
        <w:t>, needs work. This document</w:t>
      </w:r>
      <w:r w:rsidR="006C7992" w:rsidRPr="006C7992">
        <w:rPr>
          <w:rFonts w:ascii="Arial" w:hAnsi="Arial" w:cs="Arial"/>
          <w:sz w:val="24"/>
        </w:rPr>
        <w:t xml:space="preserve"> is mistitled (in the pdf doc</w:t>
      </w:r>
      <w:r w:rsidR="00791402">
        <w:rPr>
          <w:rFonts w:ascii="Arial" w:hAnsi="Arial" w:cs="Arial"/>
          <w:sz w:val="24"/>
        </w:rPr>
        <w:t>u</w:t>
      </w:r>
      <w:r w:rsidR="006C7992" w:rsidRPr="006C7992">
        <w:rPr>
          <w:rFonts w:ascii="Arial" w:hAnsi="Arial" w:cs="Arial"/>
          <w:sz w:val="24"/>
        </w:rPr>
        <w:t xml:space="preserve">ment) as “QUAD Bounce Roll Damper Install Notes". The title should convey the fact that installation of the NMBD is </w:t>
      </w:r>
      <w:r w:rsidR="00791402">
        <w:rPr>
          <w:rFonts w:ascii="Arial" w:hAnsi="Arial" w:cs="Arial"/>
          <w:sz w:val="24"/>
        </w:rPr>
        <w:t xml:space="preserve">also </w:t>
      </w:r>
      <w:r w:rsidR="006C7992" w:rsidRPr="006C7992">
        <w:rPr>
          <w:rFonts w:ascii="Arial" w:hAnsi="Arial" w:cs="Arial"/>
          <w:sz w:val="24"/>
        </w:rPr>
        <w:t xml:space="preserve">addressed. Moreover either this document should be expanded to be an actual procedure and/or </w:t>
      </w:r>
      <w:r w:rsidR="006C7992">
        <w:rPr>
          <w:rFonts w:ascii="Arial" w:hAnsi="Arial" w:cs="Arial"/>
          <w:sz w:val="24"/>
        </w:rPr>
        <w:t>checklist (</w:t>
      </w:r>
      <w:r w:rsidR="006C7992" w:rsidRPr="006C7992">
        <w:rPr>
          <w:rFonts w:ascii="Arial" w:hAnsi="Arial" w:cs="Arial"/>
          <w:sz w:val="24"/>
        </w:rPr>
        <w:t xml:space="preserve">or a separate document </w:t>
      </w:r>
      <w:r w:rsidR="006C7992">
        <w:rPr>
          <w:rFonts w:ascii="Arial" w:hAnsi="Arial" w:cs="Arial"/>
          <w:sz w:val="24"/>
        </w:rPr>
        <w:t>should be written).</w:t>
      </w:r>
      <w:r w:rsidR="006A1329">
        <w:rPr>
          <w:rFonts w:ascii="Arial" w:hAnsi="Arial" w:cs="Arial"/>
          <w:sz w:val="24"/>
        </w:rPr>
        <w:t xml:space="preserve"> This procedure should call out the “standard” and applicable steps of the chamber entry &amp; exit procedure, as well as other “standard” procedures such as placing the quad masses on their earthquake stops, adding temporary shelving to catch tools or parts, etc. </w:t>
      </w:r>
    </w:p>
    <w:p w:rsidR="00CF667D" w:rsidRPr="00CF667D" w:rsidRDefault="00CF667D" w:rsidP="00CF667D">
      <w:pPr>
        <w:ind w:left="720"/>
        <w:jc w:val="both"/>
        <w:rPr>
          <w:rFonts w:ascii="Arial" w:hAnsi="Arial" w:cs="Arial"/>
          <w:i/>
          <w:color w:val="7F7F7F" w:themeColor="text1" w:themeTint="80"/>
          <w:sz w:val="24"/>
        </w:rPr>
      </w:pPr>
      <w:r w:rsidRPr="00CF667D">
        <w:rPr>
          <w:rFonts w:ascii="Arial" w:hAnsi="Arial" w:cs="Arial"/>
          <w:i/>
          <w:color w:val="7F7F7F" w:themeColor="text1" w:themeTint="80"/>
          <w:sz w:val="24"/>
        </w:rPr>
        <w:t>Response pending.</w:t>
      </w:r>
    </w:p>
    <w:p w:rsidR="000A5D24" w:rsidRDefault="000A5D24" w:rsidP="00866D38">
      <w:pPr>
        <w:pStyle w:val="numbered-1"/>
        <w:numPr>
          <w:ilvl w:val="0"/>
          <w:numId w:val="0"/>
        </w:numPr>
        <w:ind w:left="432" w:hanging="432"/>
      </w:pPr>
    </w:p>
    <w:p w:rsidR="00502FA1" w:rsidRDefault="00502FA1" w:rsidP="00502FA1">
      <w:pPr>
        <w:pStyle w:val="Heading2"/>
      </w:pPr>
      <w:r>
        <w:t>Co</w:t>
      </w:r>
      <w:r w:rsidR="00320622">
        <w:t>mments/Observations</w:t>
      </w:r>
    </w:p>
    <w:p w:rsidR="00093BF0" w:rsidRPr="00093BF0" w:rsidRDefault="00093BF0" w:rsidP="00093BF0">
      <w:pPr>
        <w:rPr>
          <w:rFonts w:ascii="Arial" w:hAnsi="Arial" w:cs="Arial"/>
          <w:sz w:val="24"/>
          <w:szCs w:val="24"/>
        </w:rPr>
      </w:pPr>
      <w:r w:rsidRPr="00093BF0">
        <w:rPr>
          <w:rFonts w:ascii="Arial" w:hAnsi="Arial" w:cs="Arial"/>
          <w:sz w:val="24"/>
          <w:szCs w:val="24"/>
        </w:rPr>
        <w:t xml:space="preserve">The </w:t>
      </w:r>
      <w:r>
        <w:rPr>
          <w:rFonts w:ascii="Arial" w:hAnsi="Arial" w:cs="Arial"/>
          <w:sz w:val="24"/>
          <w:szCs w:val="24"/>
        </w:rPr>
        <w:t xml:space="preserve">following are </w:t>
      </w:r>
      <w:r w:rsidR="00BB2DD9">
        <w:rPr>
          <w:rFonts w:ascii="Arial" w:hAnsi="Arial" w:cs="Arial"/>
          <w:sz w:val="24"/>
          <w:szCs w:val="24"/>
        </w:rPr>
        <w:t xml:space="preserve">additional </w:t>
      </w:r>
      <w:r>
        <w:rPr>
          <w:rFonts w:ascii="Arial" w:hAnsi="Arial" w:cs="Arial"/>
          <w:sz w:val="24"/>
          <w:szCs w:val="24"/>
        </w:rPr>
        <w:t>comments and suggestions are not as consequential as the above actions</w:t>
      </w:r>
      <w:r w:rsidR="00BB2DD9">
        <w:rPr>
          <w:rFonts w:ascii="Arial" w:hAnsi="Arial" w:cs="Arial"/>
          <w:sz w:val="24"/>
          <w:szCs w:val="24"/>
        </w:rPr>
        <w:t>, but may be worthy of follow-up if practical.</w:t>
      </w:r>
    </w:p>
    <w:p w:rsidR="006F0ECA" w:rsidRDefault="006F0ECA" w:rsidP="008F21D6">
      <w:pPr>
        <w:numPr>
          <w:ilvl w:val="0"/>
          <w:numId w:val="48"/>
        </w:numPr>
        <w:jc w:val="both"/>
        <w:rPr>
          <w:rFonts w:ascii="Arial" w:hAnsi="Arial" w:cs="Arial"/>
          <w:sz w:val="24"/>
        </w:rPr>
      </w:pPr>
      <w:r>
        <w:rPr>
          <w:rFonts w:ascii="Arial" w:hAnsi="Arial" w:cs="Arial"/>
          <w:sz w:val="24"/>
        </w:rPr>
        <w:t>Section 2 cites the ECR which authorizes this implementation of a “tuned mass damper”. It would be good to clarify that this is a broadband damper, or more generally a “dynamic absorber”</w:t>
      </w:r>
      <w:r>
        <w:rPr>
          <w:rStyle w:val="FootnoteReference"/>
          <w:rFonts w:ascii="Arial" w:hAnsi="Arial" w:cs="Arial"/>
          <w:sz w:val="24"/>
        </w:rPr>
        <w:footnoteReference w:id="1"/>
      </w:r>
      <w:r>
        <w:rPr>
          <w:rFonts w:ascii="Arial" w:hAnsi="Arial" w:cs="Arial"/>
          <w:sz w:val="24"/>
        </w:rPr>
        <w:t xml:space="preserve"> and not a “tuned mass damper”.</w:t>
      </w:r>
    </w:p>
    <w:p w:rsidR="008F21D6" w:rsidRDefault="008F21D6" w:rsidP="008F21D6">
      <w:pPr>
        <w:numPr>
          <w:ilvl w:val="0"/>
          <w:numId w:val="48"/>
        </w:numPr>
        <w:jc w:val="both"/>
        <w:rPr>
          <w:rFonts w:ascii="Arial" w:hAnsi="Arial" w:cs="Arial"/>
          <w:sz w:val="24"/>
        </w:rPr>
      </w:pPr>
      <w:r>
        <w:rPr>
          <w:rFonts w:ascii="Arial" w:hAnsi="Arial" w:cs="Arial"/>
          <w:sz w:val="24"/>
        </w:rPr>
        <w:t>Section 4 of T1600046-v2:</w:t>
      </w:r>
      <w:r w:rsidRPr="00502FA1">
        <w:rPr>
          <w:rFonts w:ascii="Arial" w:hAnsi="Arial" w:cs="Arial"/>
          <w:sz w:val="24"/>
        </w:rPr>
        <w:t xml:space="preserve"> </w:t>
      </w:r>
      <w:r>
        <w:rPr>
          <w:rFonts w:ascii="Arial" w:hAnsi="Arial" w:cs="Arial"/>
          <w:sz w:val="24"/>
        </w:rPr>
        <w:t>Should r</w:t>
      </w:r>
      <w:r>
        <w:rPr>
          <w:rFonts w:ascii="Arial" w:hAnsi="Arial" w:cs="Arial"/>
          <w:sz w:val="24"/>
        </w:rPr>
        <w:t xml:space="preserve">evise the text to explicitly state that </w:t>
      </w:r>
      <w:r w:rsidRPr="00502FA1">
        <w:rPr>
          <w:rFonts w:ascii="Arial" w:hAnsi="Arial" w:cs="Arial"/>
          <w:sz w:val="24"/>
        </w:rPr>
        <w:t xml:space="preserve">during assembly the two threaded fasteners (items 7 and 10 in assembly D1400298-v7) are "bottomed out" and thus the </w:t>
      </w:r>
      <w:r>
        <w:rPr>
          <w:rFonts w:ascii="Arial" w:hAnsi="Arial" w:cs="Arial"/>
          <w:sz w:val="24"/>
        </w:rPr>
        <w:t>amount of V</w:t>
      </w:r>
      <w:r w:rsidRPr="00502FA1">
        <w:rPr>
          <w:rFonts w:ascii="Arial" w:hAnsi="Arial" w:cs="Arial"/>
          <w:sz w:val="24"/>
        </w:rPr>
        <w:t>iton compression is</w:t>
      </w:r>
      <w:r>
        <w:rPr>
          <w:rFonts w:ascii="Arial" w:hAnsi="Arial" w:cs="Arial"/>
          <w:sz w:val="24"/>
        </w:rPr>
        <w:t xml:space="preserve"> entirely adjusted by the thickness of the stack-up of washers.</w:t>
      </w:r>
    </w:p>
    <w:p w:rsidR="00502FA1" w:rsidRDefault="00502FA1" w:rsidP="00502FA1">
      <w:pPr>
        <w:numPr>
          <w:ilvl w:val="0"/>
          <w:numId w:val="48"/>
        </w:numPr>
        <w:jc w:val="both"/>
        <w:rPr>
          <w:rFonts w:ascii="Arial" w:hAnsi="Arial" w:cs="Arial"/>
          <w:sz w:val="24"/>
        </w:rPr>
      </w:pPr>
      <w:r>
        <w:rPr>
          <w:rFonts w:ascii="Arial" w:hAnsi="Arial" w:cs="Arial"/>
          <w:sz w:val="24"/>
        </w:rPr>
        <w:t xml:space="preserve">The </w:t>
      </w:r>
      <w:proofErr w:type="spellStart"/>
      <w:r>
        <w:rPr>
          <w:rFonts w:ascii="Arial" w:hAnsi="Arial" w:cs="Arial"/>
          <w:sz w:val="24"/>
        </w:rPr>
        <w:t>tolerancing</w:t>
      </w:r>
      <w:proofErr w:type="spellEnd"/>
      <w:r>
        <w:rPr>
          <w:rFonts w:ascii="Arial" w:hAnsi="Arial" w:cs="Arial"/>
          <w:sz w:val="24"/>
        </w:rPr>
        <w:t xml:space="preserve"> of the features of the parts which control the amount of </w:t>
      </w:r>
      <w:r w:rsidR="00AD3D13">
        <w:rPr>
          <w:rFonts w:ascii="Arial" w:hAnsi="Arial" w:cs="Arial"/>
          <w:sz w:val="24"/>
        </w:rPr>
        <w:t>Spring/D</w:t>
      </w:r>
      <w:r>
        <w:rPr>
          <w:rFonts w:ascii="Arial" w:hAnsi="Arial" w:cs="Arial"/>
          <w:sz w:val="24"/>
        </w:rPr>
        <w:t xml:space="preserve">amper </w:t>
      </w:r>
      <w:r w:rsidR="00AD3D13">
        <w:rPr>
          <w:rFonts w:ascii="Arial" w:hAnsi="Arial" w:cs="Arial"/>
          <w:sz w:val="24"/>
        </w:rPr>
        <w:t>(</w:t>
      </w:r>
      <w:hyperlink r:id="rId15" w:history="1">
        <w:r w:rsidR="009D0E9F" w:rsidRPr="00CD2545">
          <w:rPr>
            <w:rStyle w:val="Hyperlink"/>
            <w:rFonts w:ascii="Arial" w:hAnsi="Arial" w:cs="Arial"/>
            <w:sz w:val="24"/>
          </w:rPr>
          <w:t>D1500314</w:t>
        </w:r>
      </w:hyperlink>
      <w:r w:rsidR="00AD3D13">
        <w:rPr>
          <w:rFonts w:ascii="Arial" w:hAnsi="Arial" w:cs="Arial"/>
          <w:sz w:val="24"/>
        </w:rPr>
        <w:t xml:space="preserve">) </w:t>
      </w:r>
      <w:r>
        <w:rPr>
          <w:rFonts w:ascii="Arial" w:hAnsi="Arial" w:cs="Arial"/>
          <w:sz w:val="24"/>
        </w:rPr>
        <w:t xml:space="preserve">compression is not optimal. While the </w:t>
      </w:r>
      <w:r w:rsidR="00AD3D13">
        <w:rPr>
          <w:rFonts w:ascii="Arial" w:hAnsi="Arial" w:cs="Arial"/>
          <w:sz w:val="24"/>
        </w:rPr>
        <w:t>length of the shoulder washer (</w:t>
      </w:r>
      <w:hyperlink r:id="rId16" w:history="1">
        <w:r w:rsidR="009D0E9F">
          <w:rPr>
            <w:rStyle w:val="Hyperlink"/>
            <w:rFonts w:ascii="Arial" w:hAnsi="Arial" w:cs="Arial"/>
            <w:sz w:val="24"/>
          </w:rPr>
          <w:t>D1500312</w:t>
        </w:r>
      </w:hyperlink>
      <w:r w:rsidR="00AD3D13">
        <w:rPr>
          <w:rFonts w:ascii="Arial" w:hAnsi="Arial" w:cs="Arial"/>
          <w:sz w:val="24"/>
        </w:rPr>
        <w:t xml:space="preserve">) is tightly </w:t>
      </w:r>
      <w:proofErr w:type="spellStart"/>
      <w:r w:rsidR="00AD3D13">
        <w:rPr>
          <w:rFonts w:ascii="Arial" w:hAnsi="Arial" w:cs="Arial"/>
          <w:sz w:val="24"/>
        </w:rPr>
        <w:t>toleranced</w:t>
      </w:r>
      <w:proofErr w:type="spellEnd"/>
      <w:r w:rsidR="00AD3D13">
        <w:rPr>
          <w:rFonts w:ascii="Arial" w:hAnsi="Arial" w:cs="Arial"/>
          <w:sz w:val="24"/>
        </w:rPr>
        <w:t xml:space="preserve"> (</w:t>
      </w:r>
      <w:r w:rsidR="00AD3D13">
        <w:rPr>
          <w:rFonts w:ascii="Arial" w:hAnsi="Arial" w:cs="Arial"/>
          <w:sz w:val="24"/>
        </w:rPr>
        <w:t>± .001</w:t>
      </w:r>
      <w:r w:rsidR="00AD3D13">
        <w:rPr>
          <w:rFonts w:ascii="Arial" w:hAnsi="Arial" w:cs="Arial"/>
          <w:sz w:val="24"/>
        </w:rPr>
        <w:t>), the features of the other parts that define the default compression are indirectly dimensioned and tolerance loosely (</w:t>
      </w:r>
      <w:r w:rsidR="00AD3D13">
        <w:rPr>
          <w:rFonts w:ascii="Arial" w:hAnsi="Arial" w:cs="Arial"/>
          <w:sz w:val="24"/>
        </w:rPr>
        <w:t>±</w:t>
      </w:r>
      <w:r w:rsidR="00AD3D13">
        <w:rPr>
          <w:rFonts w:ascii="Arial" w:hAnsi="Arial" w:cs="Arial"/>
          <w:sz w:val="24"/>
        </w:rPr>
        <w:t xml:space="preserve"> .010).</w:t>
      </w:r>
    </w:p>
    <w:p w:rsidR="00AD3D13" w:rsidRDefault="00AD3D13" w:rsidP="00502FA1">
      <w:pPr>
        <w:numPr>
          <w:ilvl w:val="0"/>
          <w:numId w:val="48"/>
        </w:numPr>
        <w:jc w:val="both"/>
        <w:rPr>
          <w:rFonts w:ascii="Arial" w:hAnsi="Arial" w:cs="Arial"/>
          <w:sz w:val="24"/>
        </w:rPr>
      </w:pPr>
      <w:r>
        <w:rPr>
          <w:rFonts w:ascii="Arial" w:hAnsi="Arial" w:cs="Arial"/>
          <w:sz w:val="24"/>
        </w:rPr>
        <w:t>The title of the Spring/Damper piece part (</w:t>
      </w:r>
      <w:hyperlink r:id="rId17" w:history="1">
        <w:r w:rsidRPr="00CD2545">
          <w:rPr>
            <w:rStyle w:val="Hyperlink"/>
            <w:rFonts w:ascii="Arial" w:hAnsi="Arial" w:cs="Arial"/>
            <w:sz w:val="24"/>
          </w:rPr>
          <w:t>D1500314</w:t>
        </w:r>
      </w:hyperlink>
      <w:r>
        <w:rPr>
          <w:rFonts w:ascii="Arial" w:hAnsi="Arial" w:cs="Arial"/>
          <w:sz w:val="24"/>
        </w:rPr>
        <w:t xml:space="preserve">) is “Viton Damper”, whereas the material callout is specification </w:t>
      </w:r>
      <w:hyperlink r:id="rId18" w:history="1">
        <w:r w:rsidRPr="00CD2545">
          <w:rPr>
            <w:rStyle w:val="Hyperlink"/>
            <w:rFonts w:ascii="Arial" w:hAnsi="Arial" w:cs="Arial"/>
            <w:sz w:val="24"/>
          </w:rPr>
          <w:t>E970130</w:t>
        </w:r>
      </w:hyperlink>
      <w:r>
        <w:rPr>
          <w:rFonts w:ascii="Arial" w:hAnsi="Arial" w:cs="Arial"/>
          <w:sz w:val="24"/>
        </w:rPr>
        <w:t xml:space="preserve"> which is for </w:t>
      </w:r>
      <w:proofErr w:type="spellStart"/>
      <w:r>
        <w:rPr>
          <w:rFonts w:ascii="Arial" w:hAnsi="Arial" w:cs="Arial"/>
          <w:sz w:val="24"/>
        </w:rPr>
        <w:t>Flourel</w:t>
      </w:r>
      <w:proofErr w:type="spellEnd"/>
      <w:r>
        <w:rPr>
          <w:rFonts w:ascii="Arial" w:hAnsi="Arial" w:cs="Arial"/>
          <w:sz w:val="24"/>
        </w:rPr>
        <w:t xml:space="preserve">. Viton is a DuPont trademarked material, whereas </w:t>
      </w:r>
      <w:proofErr w:type="spellStart"/>
      <w:r>
        <w:rPr>
          <w:rFonts w:ascii="Arial" w:hAnsi="Arial" w:cs="Arial"/>
          <w:sz w:val="24"/>
        </w:rPr>
        <w:t>Flourel</w:t>
      </w:r>
      <w:proofErr w:type="spellEnd"/>
      <w:r>
        <w:rPr>
          <w:rFonts w:ascii="Arial" w:hAnsi="Arial" w:cs="Arial"/>
          <w:sz w:val="24"/>
        </w:rPr>
        <w:t xml:space="preserve"> is a 3M trademarked material.</w:t>
      </w:r>
    </w:p>
    <w:p w:rsidR="00E3294C" w:rsidRPr="00E3294C" w:rsidRDefault="00E3294C" w:rsidP="00E3294C">
      <w:pPr>
        <w:numPr>
          <w:ilvl w:val="0"/>
          <w:numId w:val="48"/>
        </w:numPr>
        <w:rPr>
          <w:rFonts w:ascii="Arial" w:hAnsi="Arial" w:cs="Arial"/>
          <w:sz w:val="24"/>
          <w:szCs w:val="24"/>
        </w:rPr>
      </w:pPr>
      <w:r w:rsidRPr="00E3294C">
        <w:rPr>
          <w:rFonts w:ascii="Arial" w:hAnsi="Arial" w:cs="Arial"/>
          <w:sz w:val="24"/>
          <w:szCs w:val="24"/>
        </w:rPr>
        <w:t xml:space="preserve">The </w:t>
      </w:r>
      <w:r>
        <w:rPr>
          <w:rFonts w:ascii="Arial" w:hAnsi="Arial" w:cs="Arial"/>
          <w:sz w:val="24"/>
          <w:szCs w:val="24"/>
        </w:rPr>
        <w:t xml:space="preserve">range of </w:t>
      </w:r>
      <w:r w:rsidRPr="00E3294C">
        <w:rPr>
          <w:rFonts w:ascii="Arial" w:hAnsi="Arial" w:cs="Arial"/>
          <w:sz w:val="24"/>
          <w:szCs w:val="24"/>
        </w:rPr>
        <w:t xml:space="preserve">washer thicknesses </w:t>
      </w:r>
      <w:r>
        <w:rPr>
          <w:rFonts w:ascii="Arial" w:hAnsi="Arial" w:cs="Arial"/>
          <w:sz w:val="24"/>
          <w:szCs w:val="24"/>
        </w:rPr>
        <w:t xml:space="preserve">for the parts </w:t>
      </w:r>
      <w:r w:rsidRPr="00E3294C">
        <w:rPr>
          <w:rFonts w:ascii="Arial" w:hAnsi="Arial" w:cs="Arial"/>
          <w:sz w:val="24"/>
          <w:szCs w:val="24"/>
        </w:rPr>
        <w:t xml:space="preserve">called out in the assembly drawing (items 13, 14 and 15 in assembly </w:t>
      </w:r>
      <w:hyperlink r:id="rId19" w:history="1">
        <w:r w:rsidR="009D0E9F">
          <w:rPr>
            <w:rStyle w:val="Hyperlink"/>
            <w:rFonts w:ascii="Arial" w:hAnsi="Arial" w:cs="Arial"/>
            <w:sz w:val="24"/>
          </w:rPr>
          <w:t>D1400298</w:t>
        </w:r>
      </w:hyperlink>
      <w:r w:rsidRPr="00E3294C">
        <w:rPr>
          <w:rFonts w:ascii="Arial" w:hAnsi="Arial" w:cs="Arial"/>
          <w:sz w:val="24"/>
          <w:szCs w:val="24"/>
        </w:rPr>
        <w:t>-v7) are</w:t>
      </w:r>
      <w:r>
        <w:rPr>
          <w:rFonts w:ascii="Arial" w:hAnsi="Arial" w:cs="Arial"/>
          <w:sz w:val="24"/>
          <w:szCs w:val="24"/>
        </w:rPr>
        <w:t xml:space="preserve"> indicated in the table below. There is essentially no difference between the thickness ranges of items 13 &amp; 14. You may wish to specify another washer option.</w:t>
      </w:r>
    </w:p>
    <w:tbl>
      <w:tblPr>
        <w:tblW w:w="3041" w:type="pct"/>
        <w:tblCellSpacing w:w="12" w:type="dxa"/>
        <w:tblInd w:w="1773"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41"/>
        <w:gridCol w:w="1896"/>
        <w:gridCol w:w="1683"/>
      </w:tblGrid>
      <w:tr w:rsidR="00E3294C" w:rsidRPr="00E3294C" w:rsidTr="00EB28A4">
        <w:trPr>
          <w:tblCellSpacing w:w="12" w:type="dxa"/>
        </w:trPr>
        <w:tc>
          <w:tcPr>
            <w:tcW w:w="2047"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item # (</w:t>
            </w:r>
            <w:hyperlink r:id="rId20" w:history="1">
              <w:r w:rsidR="009D0E9F" w:rsidRPr="009D0E9F">
                <w:rPr>
                  <w:rStyle w:val="Hyperlink"/>
                  <w:rFonts w:ascii="Arial" w:hAnsi="Arial" w:cs="Arial"/>
                  <w:sz w:val="24"/>
                </w:rPr>
                <w:t>D1400298</w:t>
              </w:r>
            </w:hyperlink>
            <w:r w:rsidRPr="00E3294C">
              <w:rPr>
                <w:rFonts w:ascii="Arial" w:hAnsi="Arial" w:cs="Arial"/>
                <w:sz w:val="24"/>
                <w:szCs w:val="24"/>
              </w:rPr>
              <w:t>-v7)</w:t>
            </w:r>
          </w:p>
        </w:tc>
        <w:tc>
          <w:tcPr>
            <w:tcW w:w="1529"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part #</w:t>
            </w:r>
          </w:p>
        </w:tc>
        <w:tc>
          <w:tcPr>
            <w:tcW w:w="1345"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thickness (in)</w:t>
            </w:r>
          </w:p>
        </w:tc>
      </w:tr>
      <w:tr w:rsidR="00E3294C" w:rsidRPr="00E3294C" w:rsidTr="00EB28A4">
        <w:trPr>
          <w:tblCellSpacing w:w="12" w:type="dxa"/>
        </w:trPr>
        <w:tc>
          <w:tcPr>
            <w:tcW w:w="2047"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13</w:t>
            </w:r>
          </w:p>
        </w:tc>
        <w:tc>
          <w:tcPr>
            <w:tcW w:w="1529"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NAS620-C6L</w:t>
            </w:r>
          </w:p>
        </w:tc>
        <w:tc>
          <w:tcPr>
            <w:tcW w:w="1345"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.015 - .018</w:t>
            </w:r>
          </w:p>
        </w:tc>
      </w:tr>
      <w:tr w:rsidR="00E3294C" w:rsidRPr="00E3294C" w:rsidTr="00EB28A4">
        <w:trPr>
          <w:tblCellSpacing w:w="12" w:type="dxa"/>
        </w:trPr>
        <w:tc>
          <w:tcPr>
            <w:tcW w:w="2047"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14</w:t>
            </w:r>
          </w:p>
        </w:tc>
        <w:tc>
          <w:tcPr>
            <w:tcW w:w="1529"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MS9549-5</w:t>
            </w:r>
          </w:p>
        </w:tc>
        <w:tc>
          <w:tcPr>
            <w:tcW w:w="1345"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.014 - .018</w:t>
            </w:r>
          </w:p>
        </w:tc>
      </w:tr>
      <w:tr w:rsidR="00E3294C" w:rsidRPr="00E3294C" w:rsidTr="00EB28A4">
        <w:trPr>
          <w:tblCellSpacing w:w="12" w:type="dxa"/>
        </w:trPr>
        <w:tc>
          <w:tcPr>
            <w:tcW w:w="2047"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15</w:t>
            </w:r>
          </w:p>
        </w:tc>
        <w:tc>
          <w:tcPr>
            <w:tcW w:w="1529"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MS51496-P70</w:t>
            </w:r>
          </w:p>
        </w:tc>
        <w:tc>
          <w:tcPr>
            <w:tcW w:w="1345" w:type="pct"/>
            <w:tcBorders>
              <w:top w:val="outset" w:sz="6" w:space="0" w:color="auto"/>
              <w:left w:val="outset" w:sz="6" w:space="0" w:color="auto"/>
              <w:bottom w:val="outset" w:sz="6" w:space="0" w:color="auto"/>
              <w:right w:val="outset" w:sz="6" w:space="0" w:color="auto"/>
            </w:tcBorders>
            <w:hideMark/>
          </w:tcPr>
          <w:p w:rsidR="00E3294C" w:rsidRPr="00E3294C" w:rsidRDefault="00E3294C" w:rsidP="00E3294C">
            <w:pPr>
              <w:rPr>
                <w:rFonts w:ascii="Arial" w:hAnsi="Arial" w:cs="Arial"/>
                <w:sz w:val="24"/>
                <w:szCs w:val="24"/>
              </w:rPr>
            </w:pPr>
            <w:r w:rsidRPr="00E3294C">
              <w:rPr>
                <w:rFonts w:ascii="Arial" w:hAnsi="Arial" w:cs="Arial"/>
                <w:sz w:val="24"/>
                <w:szCs w:val="24"/>
              </w:rPr>
              <w:t>.029 - .035</w:t>
            </w:r>
          </w:p>
        </w:tc>
      </w:tr>
    </w:tbl>
    <w:p w:rsidR="00E3294C" w:rsidRDefault="00E3294C" w:rsidP="00502FA1">
      <w:pPr>
        <w:numPr>
          <w:ilvl w:val="0"/>
          <w:numId w:val="48"/>
        </w:numPr>
        <w:jc w:val="both"/>
        <w:rPr>
          <w:rFonts w:ascii="Arial" w:hAnsi="Arial" w:cs="Arial"/>
          <w:sz w:val="24"/>
        </w:rPr>
      </w:pPr>
      <w:r>
        <w:rPr>
          <w:rFonts w:ascii="Arial" w:hAnsi="Arial" w:cs="Arial"/>
          <w:sz w:val="24"/>
        </w:rPr>
        <w:t>The CAD model currently in the SolidWorks/</w:t>
      </w:r>
      <w:proofErr w:type="spellStart"/>
      <w:r>
        <w:rPr>
          <w:rFonts w:ascii="Arial" w:hAnsi="Arial" w:cs="Arial"/>
          <w:sz w:val="24"/>
        </w:rPr>
        <w:t>PDMWorks</w:t>
      </w:r>
      <w:proofErr w:type="spellEnd"/>
      <w:r>
        <w:rPr>
          <w:rFonts w:ascii="Arial" w:hAnsi="Arial" w:cs="Arial"/>
          <w:sz w:val="24"/>
        </w:rPr>
        <w:t xml:space="preserve"> vault needs to be updated as it is inconsistent with the drawings posted to the DCC. In particular the Spring/Damper part (</w:t>
      </w:r>
      <w:hyperlink r:id="rId21" w:history="1">
        <w:r w:rsidR="002D7F4E" w:rsidRPr="00CD2545">
          <w:rPr>
            <w:rStyle w:val="Hyperlink"/>
            <w:rFonts w:ascii="Arial" w:hAnsi="Arial" w:cs="Arial"/>
            <w:sz w:val="24"/>
          </w:rPr>
          <w:t>D1500314</w:t>
        </w:r>
      </w:hyperlink>
      <w:r>
        <w:rPr>
          <w:rFonts w:ascii="Arial" w:hAnsi="Arial" w:cs="Arial"/>
          <w:sz w:val="24"/>
        </w:rPr>
        <w:t xml:space="preserve">) has a length of .283” in the vault, whereas </w:t>
      </w:r>
      <w:hyperlink r:id="rId22" w:history="1">
        <w:r w:rsidR="002D7F4E" w:rsidRPr="00CD2545">
          <w:rPr>
            <w:rStyle w:val="Hyperlink"/>
            <w:rFonts w:ascii="Arial" w:hAnsi="Arial" w:cs="Arial"/>
            <w:sz w:val="24"/>
          </w:rPr>
          <w:t>D1500314</w:t>
        </w:r>
      </w:hyperlink>
      <w:r>
        <w:rPr>
          <w:rFonts w:ascii="Arial" w:hAnsi="Arial" w:cs="Arial"/>
          <w:sz w:val="24"/>
        </w:rPr>
        <w:t>-v1 indicates a length of .313”.</w:t>
      </w:r>
      <w:r w:rsidR="0060351A">
        <w:rPr>
          <w:rFonts w:ascii="Arial" w:hAnsi="Arial" w:cs="Arial"/>
          <w:sz w:val="24"/>
        </w:rPr>
        <w:t xml:space="preserve"> The CAD model has the NAS620-C6L washer thickness set to .010”, well below its actual minimum thickness.</w:t>
      </w:r>
    </w:p>
    <w:p w:rsidR="0060351A" w:rsidRPr="00F91E09" w:rsidRDefault="0060351A" w:rsidP="0060351A">
      <w:pPr>
        <w:numPr>
          <w:ilvl w:val="0"/>
          <w:numId w:val="48"/>
        </w:numPr>
        <w:jc w:val="both"/>
        <w:rPr>
          <w:rFonts w:ascii="Arial" w:hAnsi="Arial" w:cs="Arial"/>
          <w:sz w:val="24"/>
        </w:rPr>
      </w:pPr>
      <w:r>
        <w:rPr>
          <w:rFonts w:ascii="Arial" w:hAnsi="Arial" w:cs="Arial"/>
          <w:sz w:val="24"/>
        </w:rPr>
        <w:t xml:space="preserve">Obsolete Eddy Current Damper (ECD) copper part installation ambiguity: </w:t>
      </w:r>
      <w:r>
        <w:rPr>
          <w:rFonts w:ascii="Arial" w:hAnsi="Arial" w:cs="Arial"/>
          <w:sz w:val="24"/>
        </w:rPr>
        <w:t>Section 4 of T1600046-v2 states that it is currently not known if the copper ECD inserts (D060381) exist on the LHO quads. In section 2 of E1600011</w:t>
      </w:r>
      <w:r w:rsidR="008F21D6">
        <w:rPr>
          <w:rFonts w:ascii="Arial" w:hAnsi="Arial" w:cs="Arial"/>
          <w:sz w:val="24"/>
        </w:rPr>
        <w:t>, the installation procedure,</w:t>
      </w:r>
      <w:r>
        <w:rPr>
          <w:rFonts w:ascii="Arial" w:hAnsi="Arial" w:cs="Arial"/>
          <w:sz w:val="24"/>
        </w:rPr>
        <w:t xml:space="preserve"> it is stated that these copper ECD inserts will be removed. This discrepancy should </w:t>
      </w:r>
      <w:r w:rsidR="008F21D6">
        <w:rPr>
          <w:rFonts w:ascii="Arial" w:hAnsi="Arial" w:cs="Arial"/>
          <w:sz w:val="24"/>
        </w:rPr>
        <w:t xml:space="preserve">be clarified. </w:t>
      </w:r>
    </w:p>
    <w:p w:rsidR="006C7992" w:rsidRDefault="00320622" w:rsidP="00502FA1">
      <w:pPr>
        <w:numPr>
          <w:ilvl w:val="0"/>
          <w:numId w:val="48"/>
        </w:numPr>
        <w:jc w:val="both"/>
        <w:rPr>
          <w:rFonts w:ascii="Arial" w:hAnsi="Arial" w:cs="Arial"/>
          <w:sz w:val="24"/>
        </w:rPr>
      </w:pPr>
      <w:r>
        <w:rPr>
          <w:rFonts w:ascii="Arial" w:hAnsi="Arial" w:cs="Arial"/>
          <w:sz w:val="24"/>
        </w:rPr>
        <w:t xml:space="preserve">The </w:t>
      </w:r>
      <w:r w:rsidR="001A6F12">
        <w:rPr>
          <w:rFonts w:ascii="Arial" w:hAnsi="Arial" w:cs="Arial"/>
          <w:sz w:val="24"/>
        </w:rPr>
        <w:t xml:space="preserve">nominal amount of </w:t>
      </w:r>
      <w:r>
        <w:rPr>
          <w:rFonts w:ascii="Arial" w:hAnsi="Arial" w:cs="Arial"/>
          <w:sz w:val="24"/>
        </w:rPr>
        <w:t xml:space="preserve">compression </w:t>
      </w:r>
      <w:r w:rsidR="001A6F12">
        <w:rPr>
          <w:rFonts w:ascii="Arial" w:hAnsi="Arial" w:cs="Arial"/>
          <w:sz w:val="24"/>
        </w:rPr>
        <w:t xml:space="preserve">of the </w:t>
      </w:r>
      <w:proofErr w:type="spellStart"/>
      <w:r w:rsidR="001A6F12">
        <w:rPr>
          <w:rFonts w:ascii="Arial" w:hAnsi="Arial" w:cs="Arial"/>
          <w:sz w:val="24"/>
        </w:rPr>
        <w:t>Flourel</w:t>
      </w:r>
      <w:proofErr w:type="spellEnd"/>
      <w:r w:rsidR="001A6F12">
        <w:rPr>
          <w:rFonts w:ascii="Arial" w:hAnsi="Arial" w:cs="Arial"/>
          <w:sz w:val="24"/>
        </w:rPr>
        <w:t xml:space="preserve"> spring/dampers should be documented; </w:t>
      </w:r>
      <w:proofErr w:type="gramStart"/>
      <w:r w:rsidR="001A6F12">
        <w:rPr>
          <w:rFonts w:ascii="Arial" w:hAnsi="Arial" w:cs="Arial"/>
          <w:sz w:val="24"/>
        </w:rPr>
        <w:t>It</w:t>
      </w:r>
      <w:proofErr w:type="gramEnd"/>
      <w:r w:rsidR="001A6F12">
        <w:rPr>
          <w:rFonts w:ascii="Arial" w:hAnsi="Arial" w:cs="Arial"/>
          <w:sz w:val="24"/>
        </w:rPr>
        <w:t xml:space="preserve"> appears to be ~10%. This level of compression is reasonable and comparable to </w:t>
      </w:r>
      <w:proofErr w:type="spellStart"/>
      <w:r w:rsidR="001A6F12">
        <w:rPr>
          <w:rFonts w:ascii="Arial" w:hAnsi="Arial" w:cs="Arial"/>
          <w:sz w:val="24"/>
        </w:rPr>
        <w:t>o-ring</w:t>
      </w:r>
      <w:proofErr w:type="spellEnd"/>
      <w:r w:rsidR="001A6F12">
        <w:rPr>
          <w:rFonts w:ascii="Arial" w:hAnsi="Arial" w:cs="Arial"/>
          <w:sz w:val="24"/>
        </w:rPr>
        <w:t xml:space="preserve"> applications and should not result in significant relaxation over time.</w:t>
      </w:r>
    </w:p>
    <w:p w:rsidR="001A6F12" w:rsidRDefault="001A6F12" w:rsidP="00502FA1">
      <w:pPr>
        <w:numPr>
          <w:ilvl w:val="0"/>
          <w:numId w:val="48"/>
        </w:numPr>
        <w:jc w:val="both"/>
        <w:rPr>
          <w:rFonts w:ascii="Arial" w:hAnsi="Arial" w:cs="Arial"/>
          <w:sz w:val="24"/>
        </w:rPr>
      </w:pPr>
      <w:r>
        <w:rPr>
          <w:rFonts w:ascii="Arial" w:hAnsi="Arial" w:cs="Arial"/>
          <w:sz w:val="24"/>
        </w:rPr>
        <w:t xml:space="preserve">The nominal clearance, above and below, the NMBD when installed is expected to be ~ .08” (~2mm); </w:t>
      </w:r>
      <w:proofErr w:type="gramStart"/>
      <w:r>
        <w:rPr>
          <w:rFonts w:ascii="Arial" w:hAnsi="Arial" w:cs="Arial"/>
          <w:sz w:val="24"/>
        </w:rPr>
        <w:t>This</w:t>
      </w:r>
      <w:proofErr w:type="gramEnd"/>
      <w:r>
        <w:rPr>
          <w:rFonts w:ascii="Arial" w:hAnsi="Arial" w:cs="Arial"/>
          <w:sz w:val="24"/>
        </w:rPr>
        <w:t xml:space="preserve"> should be documented in the assembly procedure. </w:t>
      </w:r>
      <w:r w:rsidR="00BB2DD9">
        <w:rPr>
          <w:rFonts w:ascii="Arial" w:hAnsi="Arial" w:cs="Arial"/>
          <w:sz w:val="24"/>
        </w:rPr>
        <w:t xml:space="preserve">It was mentioned in the teleconference that the actual clearance will depend upon whether the in situ blade spring is horizontal, or whether it droops, or is high. It was suggested that if the blade spring was higher than horizontal, then the aluminum bracket which mounts the NMBD can be “bent” (plastically, permanently deformed) to split the available clearance, top and bottom. A better solution, is to make a </w:t>
      </w:r>
      <w:r w:rsidR="008B6F2E">
        <w:rPr>
          <w:rFonts w:ascii="Arial" w:hAnsi="Arial" w:cs="Arial"/>
          <w:sz w:val="24"/>
        </w:rPr>
        <w:t>shorter bracket such that the minimal acceptable clearance between the NMBD and the spring is controlled by the machined bracket (and the NMBD is parallel to the blade spring). This minimum acceptable clearance value should also be defined in the installation procedure.</w:t>
      </w:r>
    </w:p>
    <w:p w:rsidR="00502FA1" w:rsidRDefault="00502FA1" w:rsidP="008B6F2E">
      <w:pPr>
        <w:pStyle w:val="numbered-1"/>
        <w:numPr>
          <w:ilvl w:val="0"/>
          <w:numId w:val="0"/>
        </w:numPr>
      </w:pPr>
    </w:p>
    <w:sectPr w:rsidR="00502FA1">
      <w:headerReference w:type="default" r:id="rId23"/>
      <w:footerReference w:type="default" r:id="rId24"/>
      <w:headerReference w:type="first" r:id="rId25"/>
      <w:footerReference w:type="first" r:id="rId26"/>
      <w:pgSz w:w="12240" w:h="15840" w:code="1"/>
      <w:pgMar w:top="1267" w:right="1152" w:bottom="1440" w:left="1152"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C07" w:rsidRDefault="002A1C07">
      <w:r>
        <w:separator/>
      </w:r>
    </w:p>
  </w:endnote>
  <w:endnote w:type="continuationSeparator" w:id="0">
    <w:p w:rsidR="002A1C07" w:rsidRDefault="002A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9C" w:rsidRDefault="00D41E2E">
    <w:pPr>
      <w:pStyle w:val="Footer"/>
      <w:tabs>
        <w:tab w:val="clear" w:pos="4320"/>
        <w:tab w:val="clear" w:pos="8640"/>
        <w:tab w:val="left" w:pos="3060"/>
        <w:tab w:val="left" w:pos="7830"/>
      </w:tabs>
    </w:pPr>
    <w:r>
      <w:rPr>
        <w:rFonts w:ascii="Arial" w:hAnsi="Arial" w:cs="Arial"/>
        <w:i/>
        <w:iCs/>
        <w:sz w:val="14"/>
      </w:rPr>
      <w:t>Form F0900005-v1</w:t>
    </w:r>
    <w:r w:rsidR="00C0389C">
      <w:rPr>
        <w:rFonts w:ascii="Arial" w:hAnsi="Arial" w:cs="Arial"/>
        <w:i/>
        <w:iCs/>
        <w:sz w:val="14"/>
      </w:rPr>
      <w:tab/>
      <w:t>LIGO LABORATORY</w:t>
    </w:r>
    <w:r w:rsidR="00C0389C">
      <w:rPr>
        <w:rFonts w:ascii="Arial" w:hAnsi="Arial" w:cs="Arial"/>
        <w:i/>
        <w:iCs/>
        <w:sz w:val="14"/>
      </w:rPr>
      <w:tab/>
    </w:r>
    <w:r w:rsidR="00C0389C">
      <w:rPr>
        <w:rFonts w:ascii="Arial" w:hAnsi="Arial" w:cs="Arial"/>
        <w:snapToGrid w:val="0"/>
        <w:sz w:val="14"/>
      </w:rPr>
      <w:t xml:space="preserve">Page </w:t>
    </w:r>
    <w:r w:rsidR="00C0389C">
      <w:rPr>
        <w:rFonts w:ascii="Arial" w:hAnsi="Arial" w:cs="Arial"/>
        <w:snapToGrid w:val="0"/>
        <w:sz w:val="14"/>
      </w:rPr>
      <w:fldChar w:fldCharType="begin"/>
    </w:r>
    <w:r w:rsidR="00C0389C">
      <w:rPr>
        <w:rFonts w:ascii="Arial" w:hAnsi="Arial" w:cs="Arial"/>
        <w:snapToGrid w:val="0"/>
        <w:sz w:val="14"/>
      </w:rPr>
      <w:instrText xml:space="preserve"> PAGE </w:instrText>
    </w:r>
    <w:r w:rsidR="00C0389C">
      <w:rPr>
        <w:rFonts w:ascii="Arial" w:hAnsi="Arial" w:cs="Arial"/>
        <w:snapToGrid w:val="0"/>
        <w:sz w:val="14"/>
      </w:rPr>
      <w:fldChar w:fldCharType="separate"/>
    </w:r>
    <w:r w:rsidR="00B51F93">
      <w:rPr>
        <w:rFonts w:ascii="Arial" w:hAnsi="Arial" w:cs="Arial"/>
        <w:noProof/>
        <w:snapToGrid w:val="0"/>
        <w:sz w:val="14"/>
      </w:rPr>
      <w:t>4</w:t>
    </w:r>
    <w:r w:rsidR="00C0389C">
      <w:rPr>
        <w:rFonts w:ascii="Arial" w:hAnsi="Arial" w:cs="Arial"/>
        <w:snapToGrid w:val="0"/>
        <w:sz w:val="14"/>
      </w:rPr>
      <w:fldChar w:fldCharType="end"/>
    </w:r>
    <w:r w:rsidR="00C0389C">
      <w:rPr>
        <w:rFonts w:ascii="Arial" w:hAnsi="Arial" w:cs="Arial"/>
        <w:snapToGrid w:val="0"/>
        <w:sz w:val="14"/>
      </w:rPr>
      <w:t xml:space="preserve"> of </w:t>
    </w:r>
    <w:r w:rsidR="00C0389C">
      <w:rPr>
        <w:rFonts w:ascii="Arial" w:hAnsi="Arial" w:cs="Arial"/>
        <w:snapToGrid w:val="0"/>
        <w:sz w:val="14"/>
      </w:rPr>
      <w:fldChar w:fldCharType="begin"/>
    </w:r>
    <w:r w:rsidR="00C0389C">
      <w:rPr>
        <w:rFonts w:ascii="Arial" w:hAnsi="Arial" w:cs="Arial"/>
        <w:snapToGrid w:val="0"/>
        <w:sz w:val="14"/>
      </w:rPr>
      <w:instrText xml:space="preserve"> NUMPAGES </w:instrText>
    </w:r>
    <w:r w:rsidR="00C0389C">
      <w:rPr>
        <w:rFonts w:ascii="Arial" w:hAnsi="Arial" w:cs="Arial"/>
        <w:snapToGrid w:val="0"/>
        <w:sz w:val="14"/>
      </w:rPr>
      <w:fldChar w:fldCharType="separate"/>
    </w:r>
    <w:r w:rsidR="00B51F93">
      <w:rPr>
        <w:rFonts w:ascii="Arial" w:hAnsi="Arial" w:cs="Arial"/>
        <w:noProof/>
        <w:snapToGrid w:val="0"/>
        <w:sz w:val="14"/>
      </w:rPr>
      <w:t>4</w:t>
    </w:r>
    <w:r w:rsidR="00C0389C">
      <w:rPr>
        <w:rFonts w:ascii="Arial" w:hAnsi="Arial" w:cs="Arial"/>
        <w:snapToGrid w:val="0"/>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9C" w:rsidRDefault="00D41E2E" w:rsidP="00486F47">
    <w:pPr>
      <w:pStyle w:val="Footer"/>
      <w:tabs>
        <w:tab w:val="clear" w:pos="4320"/>
        <w:tab w:val="clear" w:pos="8640"/>
        <w:tab w:val="left" w:pos="3060"/>
        <w:tab w:val="left" w:pos="7830"/>
      </w:tabs>
    </w:pPr>
    <w:r>
      <w:rPr>
        <w:rFonts w:ascii="Arial" w:hAnsi="Arial" w:cs="Arial"/>
        <w:i/>
        <w:iCs/>
        <w:sz w:val="14"/>
      </w:rPr>
      <w:t>Form F0900005-v1</w:t>
    </w:r>
    <w:r w:rsidR="00C0389C">
      <w:rPr>
        <w:rFonts w:ascii="Arial" w:hAnsi="Arial" w:cs="Arial"/>
        <w:i/>
        <w:iCs/>
        <w:sz w:val="14"/>
      </w:rPr>
      <w:tab/>
      <w:t>LIGO LABORATORY</w:t>
    </w:r>
    <w:r w:rsidR="00C0389C">
      <w:rPr>
        <w:rFonts w:ascii="Arial" w:hAnsi="Arial" w:cs="Arial"/>
        <w:i/>
        <w:iCs/>
        <w:sz w:val="14"/>
      </w:rPr>
      <w:tab/>
    </w:r>
    <w:r w:rsidR="00C0389C">
      <w:rPr>
        <w:rFonts w:ascii="Arial" w:hAnsi="Arial" w:cs="Arial"/>
        <w:snapToGrid w:val="0"/>
        <w:sz w:val="14"/>
      </w:rPr>
      <w:t xml:space="preserve">Page </w:t>
    </w:r>
    <w:r w:rsidR="00C0389C">
      <w:rPr>
        <w:rFonts w:ascii="Arial" w:hAnsi="Arial" w:cs="Arial"/>
        <w:snapToGrid w:val="0"/>
        <w:sz w:val="14"/>
      </w:rPr>
      <w:fldChar w:fldCharType="begin"/>
    </w:r>
    <w:r w:rsidR="00C0389C">
      <w:rPr>
        <w:rFonts w:ascii="Arial" w:hAnsi="Arial" w:cs="Arial"/>
        <w:snapToGrid w:val="0"/>
        <w:sz w:val="14"/>
      </w:rPr>
      <w:instrText xml:space="preserve"> PAGE </w:instrText>
    </w:r>
    <w:r w:rsidR="00C0389C">
      <w:rPr>
        <w:rFonts w:ascii="Arial" w:hAnsi="Arial" w:cs="Arial"/>
        <w:snapToGrid w:val="0"/>
        <w:sz w:val="14"/>
      </w:rPr>
      <w:fldChar w:fldCharType="separate"/>
    </w:r>
    <w:r w:rsidR="00B51F93">
      <w:rPr>
        <w:rFonts w:ascii="Arial" w:hAnsi="Arial" w:cs="Arial"/>
        <w:noProof/>
        <w:snapToGrid w:val="0"/>
        <w:sz w:val="14"/>
      </w:rPr>
      <w:t>1</w:t>
    </w:r>
    <w:r w:rsidR="00C0389C">
      <w:rPr>
        <w:rFonts w:ascii="Arial" w:hAnsi="Arial" w:cs="Arial"/>
        <w:snapToGrid w:val="0"/>
        <w:sz w:val="14"/>
      </w:rPr>
      <w:fldChar w:fldCharType="end"/>
    </w:r>
    <w:r w:rsidR="00C0389C">
      <w:rPr>
        <w:rFonts w:ascii="Arial" w:hAnsi="Arial" w:cs="Arial"/>
        <w:snapToGrid w:val="0"/>
        <w:sz w:val="14"/>
      </w:rPr>
      <w:t xml:space="preserve"> of </w:t>
    </w:r>
    <w:r w:rsidR="00C0389C">
      <w:rPr>
        <w:rFonts w:ascii="Arial" w:hAnsi="Arial" w:cs="Arial"/>
        <w:snapToGrid w:val="0"/>
        <w:sz w:val="14"/>
      </w:rPr>
      <w:fldChar w:fldCharType="begin"/>
    </w:r>
    <w:r w:rsidR="00C0389C">
      <w:rPr>
        <w:rFonts w:ascii="Arial" w:hAnsi="Arial" w:cs="Arial"/>
        <w:snapToGrid w:val="0"/>
        <w:sz w:val="14"/>
      </w:rPr>
      <w:instrText xml:space="preserve"> NUMPAGES </w:instrText>
    </w:r>
    <w:r w:rsidR="00C0389C">
      <w:rPr>
        <w:rFonts w:ascii="Arial" w:hAnsi="Arial" w:cs="Arial"/>
        <w:snapToGrid w:val="0"/>
        <w:sz w:val="14"/>
      </w:rPr>
      <w:fldChar w:fldCharType="separate"/>
    </w:r>
    <w:r w:rsidR="00B51F93">
      <w:rPr>
        <w:rFonts w:ascii="Arial" w:hAnsi="Arial" w:cs="Arial"/>
        <w:noProof/>
        <w:snapToGrid w:val="0"/>
        <w:sz w:val="14"/>
      </w:rPr>
      <w:t>4</w:t>
    </w:r>
    <w:r w:rsidR="00C0389C">
      <w:rPr>
        <w:rFonts w:ascii="Arial" w:hAnsi="Arial" w:cs="Arial"/>
        <w:snapToGrid w:val="0"/>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C07" w:rsidRDefault="002A1C07">
      <w:r>
        <w:separator/>
      </w:r>
    </w:p>
  </w:footnote>
  <w:footnote w:type="continuationSeparator" w:id="0">
    <w:p w:rsidR="002A1C07" w:rsidRDefault="002A1C07">
      <w:r>
        <w:continuationSeparator/>
      </w:r>
    </w:p>
  </w:footnote>
  <w:footnote w:id="1">
    <w:p w:rsidR="006F0ECA" w:rsidRDefault="006F0ECA">
      <w:pPr>
        <w:pStyle w:val="FootnoteText"/>
      </w:pPr>
      <w:r>
        <w:rPr>
          <w:rStyle w:val="FootnoteReference"/>
        </w:rPr>
        <w:footnoteRef/>
      </w:r>
      <w:r>
        <w:t xml:space="preserve"> </w:t>
      </w:r>
      <w:proofErr w:type="gramStart"/>
      <w:r>
        <w:t>e.g</w:t>
      </w:r>
      <w:proofErr w:type="gramEnd"/>
      <w:r>
        <w:t xml:space="preserve">. J.C. </w:t>
      </w:r>
      <w:proofErr w:type="spellStart"/>
      <w:r>
        <w:t>Snowdon</w:t>
      </w:r>
      <w:proofErr w:type="spellEnd"/>
      <w:r>
        <w:t xml:space="preserve">, </w:t>
      </w:r>
      <w:r w:rsidRPr="006F0ECA">
        <w:rPr>
          <w:u w:val="single"/>
        </w:rPr>
        <w:t>Vibration and Shock in Damped Mechanical Systems</w:t>
      </w:r>
      <w:r>
        <w:t xml:space="preserve">, John Wiley &amp; Sons, </w:t>
      </w:r>
      <w:proofErr w:type="spellStart"/>
      <w:r>
        <w:t>cr</w:t>
      </w:r>
      <w:proofErr w:type="spellEnd"/>
      <w:r>
        <w:t xml:space="preserve"> 1968.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9C" w:rsidRPr="005246D8" w:rsidRDefault="00481A18" w:rsidP="00442276">
    <w:pPr>
      <w:pStyle w:val="Header"/>
      <w:tabs>
        <w:tab w:val="clear" w:pos="8640"/>
        <w:tab w:val="right" w:pos="9900"/>
      </w:tabs>
      <w:rPr>
        <w:sz w:val="24"/>
        <w:u w:val="single"/>
      </w:rPr>
    </w:pPr>
    <w:r>
      <w:rPr>
        <w:sz w:val="24"/>
        <w:u w:val="single"/>
      </w:rPr>
      <w:t>LIGO Laboratory</w:t>
    </w:r>
    <w:r>
      <w:rPr>
        <w:sz w:val="24"/>
        <w:u w:val="single"/>
      </w:rPr>
      <w:tab/>
    </w:r>
    <w:r w:rsidR="008B6F2E">
      <w:rPr>
        <w:sz w:val="24"/>
        <w:u w:val="single"/>
      </w:rPr>
      <w:tab/>
    </w:r>
    <w:r>
      <w:rPr>
        <w:sz w:val="24"/>
        <w:u w:val="single"/>
      </w:rPr>
      <w:t>L</w:t>
    </w:r>
    <w:r w:rsidR="009F0E45">
      <w:rPr>
        <w:sz w:val="24"/>
        <w:u w:val="single"/>
      </w:rPr>
      <w:t>1600062</w:t>
    </w:r>
    <w:r w:rsidR="0029414A">
      <w:rPr>
        <w:sz w:val="24"/>
        <w:u w:val="single"/>
      </w:rPr>
      <w:t>-v1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8" w:type="dxa"/>
      <w:tblLayout w:type="fixed"/>
      <w:tblCellMar>
        <w:top w:w="40" w:type="dxa"/>
      </w:tblCellMar>
      <w:tblLook w:val="0000" w:firstRow="0" w:lastRow="0" w:firstColumn="0" w:lastColumn="0" w:noHBand="0" w:noVBand="0"/>
    </w:tblPr>
    <w:tblGrid>
      <w:gridCol w:w="2988"/>
      <w:gridCol w:w="7110"/>
    </w:tblGrid>
    <w:tr w:rsidR="00C0389C" w:rsidRPr="006C6448" w:rsidTr="00F94405">
      <w:trPr>
        <w:trHeight w:val="1400"/>
      </w:trPr>
      <w:tc>
        <w:tcPr>
          <w:tcW w:w="2988" w:type="dxa"/>
        </w:tcPr>
        <w:p w:rsidR="00C0389C" w:rsidRPr="004947A7" w:rsidRDefault="00B51F93" w:rsidP="00F94405">
          <w:pPr>
            <w:pStyle w:val="BodyText2"/>
            <w:jc w:val="left"/>
            <w:rPr>
              <w:sz w:val="36"/>
              <w:szCs w:val="36"/>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5.95pt;margin-top:0;width:93.6pt;height:68.35pt;z-index:-251658752" wrapcoords="-173 0 -173 21363 21600 21363 21600 0 -173 0" fillcolor="#d49fff" strokecolor="#114ffb" strokeweight="1pt">
                <v:stroke startarrowwidth="narrow" startarrowlength="short" endarrowwidth="narrow" endarrowlength="short"/>
                <v:imagedata r:id="rId1" o:title=""/>
                <v:shadow color="#cecece"/>
                <w10:wrap type="through"/>
              </v:shape>
              <o:OLEObject Type="Embed" ProgID="MSPhotoEd.3" ShapeID="_x0000_s2053" DrawAspect="Content" ObjectID="_1521634557" r:id="rId2"/>
            </w:object>
          </w:r>
        </w:p>
      </w:tc>
      <w:tc>
        <w:tcPr>
          <w:tcW w:w="7110" w:type="dxa"/>
        </w:tcPr>
        <w:p w:rsidR="00C0389C" w:rsidRDefault="00C0389C" w:rsidP="00F94405">
          <w:pPr>
            <w:pStyle w:val="Header"/>
            <w:rPr>
              <w:rFonts w:ascii="Arial" w:hAnsi="Arial" w:cs="Arial"/>
              <w:b/>
              <w:sz w:val="36"/>
              <w:szCs w:val="36"/>
            </w:rPr>
          </w:pPr>
          <w:r>
            <w:rPr>
              <w:rFonts w:ascii="Arial" w:hAnsi="Arial" w:cs="Arial"/>
              <w:b/>
              <w:sz w:val="36"/>
              <w:szCs w:val="36"/>
            </w:rPr>
            <w:t xml:space="preserve">    </w:t>
          </w:r>
        </w:p>
        <w:p w:rsidR="00C0389C" w:rsidRPr="00F837C9" w:rsidRDefault="00C0389C" w:rsidP="00F94405">
          <w:pPr>
            <w:pStyle w:val="Header"/>
            <w:rPr>
              <w:rFonts w:ascii="Arial" w:hAnsi="Arial" w:cs="Arial"/>
              <w:b/>
              <w:sz w:val="48"/>
              <w:szCs w:val="48"/>
            </w:rPr>
          </w:pPr>
          <w:r w:rsidRPr="00136E37">
            <w:rPr>
              <w:rFonts w:ascii="Arial" w:hAnsi="Arial" w:cs="Arial"/>
              <w:b/>
              <w:sz w:val="48"/>
              <w:szCs w:val="48"/>
            </w:rPr>
            <w:t xml:space="preserve">      LIGO Laboratory</w:t>
          </w:r>
        </w:p>
      </w:tc>
    </w:tr>
  </w:tbl>
  <w:p w:rsidR="00C0389C" w:rsidRDefault="00C0389C">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0D77"/>
    <w:multiLevelType w:val="multilevel"/>
    <w:tmpl w:val="A370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5173D"/>
    <w:multiLevelType w:val="multilevel"/>
    <w:tmpl w:val="BFAA72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
    <w:nsid w:val="0C205BBD"/>
    <w:multiLevelType w:val="hybridMultilevel"/>
    <w:tmpl w:val="A2B8DEEC"/>
    <w:lvl w:ilvl="0" w:tplc="962E07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6B7E72"/>
    <w:multiLevelType w:val="hybridMultilevel"/>
    <w:tmpl w:val="DDC0D310"/>
    <w:lvl w:ilvl="0" w:tplc="9DEA914C">
      <w:start w:val="1"/>
      <w:numFmt w:val="lowerRoman"/>
      <w:lvlText w:val="%1."/>
      <w:lvlJc w:val="left"/>
      <w:pPr>
        <w:tabs>
          <w:tab w:val="num" w:pos="1440"/>
        </w:tabs>
        <w:ind w:left="144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F2C58"/>
    <w:multiLevelType w:val="multilevel"/>
    <w:tmpl w:val="BC7E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EC31EF"/>
    <w:multiLevelType w:val="multilevel"/>
    <w:tmpl w:val="DACC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B03E0"/>
    <w:multiLevelType w:val="hybridMultilevel"/>
    <w:tmpl w:val="14C6761A"/>
    <w:lvl w:ilvl="0" w:tplc="1884E1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2D628F"/>
    <w:multiLevelType w:val="multilevel"/>
    <w:tmpl w:val="CD40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60866"/>
    <w:multiLevelType w:val="multilevel"/>
    <w:tmpl w:val="DE38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955E7"/>
    <w:multiLevelType w:val="multilevel"/>
    <w:tmpl w:val="6AC4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6458C3"/>
    <w:multiLevelType w:val="hybridMultilevel"/>
    <w:tmpl w:val="1992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A31BF"/>
    <w:multiLevelType w:val="hybridMultilevel"/>
    <w:tmpl w:val="3E7A1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9933B3"/>
    <w:multiLevelType w:val="multilevel"/>
    <w:tmpl w:val="3A5A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3549E"/>
    <w:multiLevelType w:val="multilevel"/>
    <w:tmpl w:val="12AC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1C1E0C"/>
    <w:multiLevelType w:val="hybridMultilevel"/>
    <w:tmpl w:val="BFAA7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38B11988"/>
    <w:multiLevelType w:val="multilevel"/>
    <w:tmpl w:val="DDC0D310"/>
    <w:lvl w:ilvl="0">
      <w:start w:val="1"/>
      <w:numFmt w:val="lowerRoman"/>
      <w:lvlText w:val="%1."/>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A9D6682"/>
    <w:multiLevelType w:val="multilevel"/>
    <w:tmpl w:val="C18E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AA5135"/>
    <w:multiLevelType w:val="multilevel"/>
    <w:tmpl w:val="4B3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0A39C6"/>
    <w:multiLevelType w:val="multilevel"/>
    <w:tmpl w:val="5F8C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CC43CC"/>
    <w:multiLevelType w:val="multilevel"/>
    <w:tmpl w:val="7022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5377C1"/>
    <w:multiLevelType w:val="hybridMultilevel"/>
    <w:tmpl w:val="F022E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3C1775"/>
    <w:multiLevelType w:val="multilevel"/>
    <w:tmpl w:val="0B2C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3F595B"/>
    <w:multiLevelType w:val="hybridMultilevel"/>
    <w:tmpl w:val="14C6761A"/>
    <w:lvl w:ilvl="0" w:tplc="1884E1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01752B"/>
    <w:multiLevelType w:val="hybridMultilevel"/>
    <w:tmpl w:val="7F348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1620"/>
        </w:tabs>
        <w:ind w:left="1620" w:hanging="360"/>
      </w:pPr>
      <w:rPr>
        <w:rFonts w:ascii="Courier New" w:hAnsi="Courier New" w:cs="Courier New"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465A36B0"/>
    <w:multiLevelType w:val="multilevel"/>
    <w:tmpl w:val="7B00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ED0329"/>
    <w:multiLevelType w:val="hybridMultilevel"/>
    <w:tmpl w:val="8B828D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AB7729"/>
    <w:multiLevelType w:val="hybridMultilevel"/>
    <w:tmpl w:val="8988AA12"/>
    <w:lvl w:ilvl="0" w:tplc="1884E1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0B6AD5"/>
    <w:multiLevelType w:val="hybridMultilevel"/>
    <w:tmpl w:val="7FA417A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DE25FA"/>
    <w:multiLevelType w:val="multilevel"/>
    <w:tmpl w:val="30A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A1E5E"/>
    <w:multiLevelType w:val="multilevel"/>
    <w:tmpl w:val="4F96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2F1166"/>
    <w:multiLevelType w:val="hybridMultilevel"/>
    <w:tmpl w:val="804A0562"/>
    <w:lvl w:ilvl="0" w:tplc="A42E1BB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1F956E1"/>
    <w:multiLevelType w:val="multilevel"/>
    <w:tmpl w:val="766A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422E6B"/>
    <w:multiLevelType w:val="hybridMultilevel"/>
    <w:tmpl w:val="14263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341704"/>
    <w:multiLevelType w:val="hybridMultilevel"/>
    <w:tmpl w:val="607868D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9A5383"/>
    <w:multiLevelType w:val="multilevel"/>
    <w:tmpl w:val="3E0C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DE12AF"/>
    <w:multiLevelType w:val="multilevel"/>
    <w:tmpl w:val="607868D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B0A28C2"/>
    <w:multiLevelType w:val="hybridMultilevel"/>
    <w:tmpl w:val="9F867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DB4BC4"/>
    <w:multiLevelType w:val="hybridMultilevel"/>
    <w:tmpl w:val="80CA4216"/>
    <w:lvl w:ilvl="0" w:tplc="ADAADE18">
      <w:start w:val="1"/>
      <w:numFmt w:val="decimal"/>
      <w:pStyle w:val="numbered-1"/>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6A5745F"/>
    <w:multiLevelType w:val="multilevel"/>
    <w:tmpl w:val="7DB2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F27D43"/>
    <w:multiLevelType w:val="hybridMultilevel"/>
    <w:tmpl w:val="2A9036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B717B2"/>
    <w:multiLevelType w:val="multilevel"/>
    <w:tmpl w:val="7984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E70D88"/>
    <w:multiLevelType w:val="multilevel"/>
    <w:tmpl w:val="B87C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D079DC"/>
    <w:multiLevelType w:val="multilevel"/>
    <w:tmpl w:val="A2E0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561047"/>
    <w:multiLevelType w:val="multilevel"/>
    <w:tmpl w:val="31CC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0"/>
  </w:num>
  <w:num w:numId="3">
    <w:abstractNumId w:val="33"/>
  </w:num>
  <w:num w:numId="4">
    <w:abstractNumId w:val="20"/>
  </w:num>
  <w:num w:numId="5">
    <w:abstractNumId w:val="32"/>
  </w:num>
  <w:num w:numId="6">
    <w:abstractNumId w:val="11"/>
  </w:num>
  <w:num w:numId="7">
    <w:abstractNumId w:val="27"/>
  </w:num>
  <w:num w:numId="8">
    <w:abstractNumId w:val="35"/>
  </w:num>
  <w:num w:numId="9">
    <w:abstractNumId w:val="39"/>
  </w:num>
  <w:num w:numId="10">
    <w:abstractNumId w:val="29"/>
  </w:num>
  <w:num w:numId="11">
    <w:abstractNumId w:val="43"/>
  </w:num>
  <w:num w:numId="12">
    <w:abstractNumId w:val="9"/>
  </w:num>
  <w:num w:numId="13">
    <w:abstractNumId w:val="8"/>
  </w:num>
  <w:num w:numId="14">
    <w:abstractNumId w:val="41"/>
  </w:num>
  <w:num w:numId="15">
    <w:abstractNumId w:val="34"/>
  </w:num>
  <w:num w:numId="16">
    <w:abstractNumId w:val="7"/>
  </w:num>
  <w:num w:numId="17">
    <w:abstractNumId w:val="13"/>
  </w:num>
  <w:num w:numId="18">
    <w:abstractNumId w:val="42"/>
  </w:num>
  <w:num w:numId="19">
    <w:abstractNumId w:val="0"/>
  </w:num>
  <w:num w:numId="20">
    <w:abstractNumId w:val="19"/>
  </w:num>
  <w:num w:numId="21">
    <w:abstractNumId w:val="31"/>
  </w:num>
  <w:num w:numId="22">
    <w:abstractNumId w:val="21"/>
  </w:num>
  <w:num w:numId="23">
    <w:abstractNumId w:val="40"/>
  </w:num>
  <w:num w:numId="24">
    <w:abstractNumId w:val="16"/>
  </w:num>
  <w:num w:numId="25">
    <w:abstractNumId w:val="38"/>
  </w:num>
  <w:num w:numId="26">
    <w:abstractNumId w:val="17"/>
  </w:num>
  <w:num w:numId="27">
    <w:abstractNumId w:val="4"/>
  </w:num>
  <w:num w:numId="28">
    <w:abstractNumId w:val="12"/>
  </w:num>
  <w:num w:numId="29">
    <w:abstractNumId w:val="5"/>
  </w:num>
  <w:num w:numId="30">
    <w:abstractNumId w:val="28"/>
  </w:num>
  <w:num w:numId="31">
    <w:abstractNumId w:val="18"/>
  </w:num>
  <w:num w:numId="32">
    <w:abstractNumId w:val="24"/>
  </w:num>
  <w:num w:numId="33">
    <w:abstractNumId w:val="37"/>
  </w:num>
  <w:num w:numId="34">
    <w:abstractNumId w:val="37"/>
    <w:lvlOverride w:ilvl="0">
      <w:startOverride w:val="1"/>
    </w:lvlOverride>
  </w:num>
  <w:num w:numId="35">
    <w:abstractNumId w:val="37"/>
    <w:lvlOverride w:ilvl="0">
      <w:startOverride w:val="1"/>
    </w:lvlOverride>
  </w:num>
  <w:num w:numId="36">
    <w:abstractNumId w:val="37"/>
    <w:lvlOverride w:ilvl="0">
      <w:startOverride w:val="1"/>
    </w:lvlOverride>
  </w:num>
  <w:num w:numId="37">
    <w:abstractNumId w:val="37"/>
    <w:lvlOverride w:ilvl="0">
      <w:startOverride w:val="1"/>
    </w:lvlOverride>
  </w:num>
  <w:num w:numId="38">
    <w:abstractNumId w:val="3"/>
  </w:num>
  <w:num w:numId="39">
    <w:abstractNumId w:val="25"/>
  </w:num>
  <w:num w:numId="40">
    <w:abstractNumId w:val="15"/>
  </w:num>
  <w:num w:numId="41">
    <w:abstractNumId w:val="14"/>
  </w:num>
  <w:num w:numId="42">
    <w:abstractNumId w:val="2"/>
  </w:num>
  <w:num w:numId="43">
    <w:abstractNumId w:val="22"/>
  </w:num>
  <w:num w:numId="44">
    <w:abstractNumId w:val="26"/>
  </w:num>
  <w:num w:numId="45">
    <w:abstractNumId w:val="1"/>
  </w:num>
  <w:num w:numId="46">
    <w:abstractNumId w:val="23"/>
  </w:num>
  <w:num w:numId="47">
    <w:abstractNumId w:val="1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1D4"/>
    <w:rsid w:val="00000A46"/>
    <w:rsid w:val="000218FA"/>
    <w:rsid w:val="00021E8E"/>
    <w:rsid w:val="000242B7"/>
    <w:rsid w:val="00053FF5"/>
    <w:rsid w:val="00067C12"/>
    <w:rsid w:val="00074A39"/>
    <w:rsid w:val="00093BF0"/>
    <w:rsid w:val="00097595"/>
    <w:rsid w:val="000A04E6"/>
    <w:rsid w:val="000A5D24"/>
    <w:rsid w:val="000C7133"/>
    <w:rsid w:val="000C732F"/>
    <w:rsid w:val="000D0AC1"/>
    <w:rsid w:val="000D2D80"/>
    <w:rsid w:val="000D4797"/>
    <w:rsid w:val="000D62A0"/>
    <w:rsid w:val="000E747E"/>
    <w:rsid w:val="000F4396"/>
    <w:rsid w:val="0010147C"/>
    <w:rsid w:val="001021D4"/>
    <w:rsid w:val="001072DD"/>
    <w:rsid w:val="00123915"/>
    <w:rsid w:val="001316B6"/>
    <w:rsid w:val="00135174"/>
    <w:rsid w:val="001421A0"/>
    <w:rsid w:val="00157172"/>
    <w:rsid w:val="0017703D"/>
    <w:rsid w:val="00181600"/>
    <w:rsid w:val="00196D20"/>
    <w:rsid w:val="001A2564"/>
    <w:rsid w:val="001A4F75"/>
    <w:rsid w:val="001A6F12"/>
    <w:rsid w:val="001B4D95"/>
    <w:rsid w:val="001B4F01"/>
    <w:rsid w:val="001D0D12"/>
    <w:rsid w:val="001D6D02"/>
    <w:rsid w:val="001F3AE2"/>
    <w:rsid w:val="00204416"/>
    <w:rsid w:val="00204FD1"/>
    <w:rsid w:val="002115E4"/>
    <w:rsid w:val="0022347C"/>
    <w:rsid w:val="002244B9"/>
    <w:rsid w:val="0023166D"/>
    <w:rsid w:val="002378E1"/>
    <w:rsid w:val="00261E25"/>
    <w:rsid w:val="00263E8A"/>
    <w:rsid w:val="00271347"/>
    <w:rsid w:val="0027619D"/>
    <w:rsid w:val="00276499"/>
    <w:rsid w:val="00276A64"/>
    <w:rsid w:val="00282443"/>
    <w:rsid w:val="00284242"/>
    <w:rsid w:val="002877BB"/>
    <w:rsid w:val="002911C6"/>
    <w:rsid w:val="0029414A"/>
    <w:rsid w:val="002A091F"/>
    <w:rsid w:val="002A1C07"/>
    <w:rsid w:val="002A27A7"/>
    <w:rsid w:val="002A2844"/>
    <w:rsid w:val="002A2F00"/>
    <w:rsid w:val="002B2D48"/>
    <w:rsid w:val="002B7E1E"/>
    <w:rsid w:val="002D5F49"/>
    <w:rsid w:val="002D7F4E"/>
    <w:rsid w:val="002E02BA"/>
    <w:rsid w:val="002E5A89"/>
    <w:rsid w:val="002F4D19"/>
    <w:rsid w:val="0030748D"/>
    <w:rsid w:val="003133EA"/>
    <w:rsid w:val="00320622"/>
    <w:rsid w:val="003303FA"/>
    <w:rsid w:val="0033233F"/>
    <w:rsid w:val="00337CD6"/>
    <w:rsid w:val="003519C6"/>
    <w:rsid w:val="003560C0"/>
    <w:rsid w:val="00390D38"/>
    <w:rsid w:val="0039609F"/>
    <w:rsid w:val="003A6EEE"/>
    <w:rsid w:val="003C1B88"/>
    <w:rsid w:val="003C6CE8"/>
    <w:rsid w:val="003E4170"/>
    <w:rsid w:val="003F4AF4"/>
    <w:rsid w:val="00402B2D"/>
    <w:rsid w:val="00406F6B"/>
    <w:rsid w:val="00414F9C"/>
    <w:rsid w:val="00415A50"/>
    <w:rsid w:val="0042051B"/>
    <w:rsid w:val="00421A42"/>
    <w:rsid w:val="00421FD0"/>
    <w:rsid w:val="0043199D"/>
    <w:rsid w:val="004340DC"/>
    <w:rsid w:val="00442276"/>
    <w:rsid w:val="00442ADA"/>
    <w:rsid w:val="0045674F"/>
    <w:rsid w:val="00481A18"/>
    <w:rsid w:val="00486CC8"/>
    <w:rsid w:val="00486F47"/>
    <w:rsid w:val="004927F9"/>
    <w:rsid w:val="004A105B"/>
    <w:rsid w:val="004A27E5"/>
    <w:rsid w:val="004A5F18"/>
    <w:rsid w:val="004A7054"/>
    <w:rsid w:val="004B091F"/>
    <w:rsid w:val="004B2953"/>
    <w:rsid w:val="004C0180"/>
    <w:rsid w:val="004C1BF8"/>
    <w:rsid w:val="004D6E5E"/>
    <w:rsid w:val="004E3EA9"/>
    <w:rsid w:val="004F5550"/>
    <w:rsid w:val="00502FA1"/>
    <w:rsid w:val="005035BB"/>
    <w:rsid w:val="00507916"/>
    <w:rsid w:val="00516414"/>
    <w:rsid w:val="00517849"/>
    <w:rsid w:val="005246D8"/>
    <w:rsid w:val="005372D9"/>
    <w:rsid w:val="0054637C"/>
    <w:rsid w:val="00566448"/>
    <w:rsid w:val="00584482"/>
    <w:rsid w:val="005A55DF"/>
    <w:rsid w:val="005B267E"/>
    <w:rsid w:val="005D09A1"/>
    <w:rsid w:val="005D0DE7"/>
    <w:rsid w:val="005D48F4"/>
    <w:rsid w:val="005E0252"/>
    <w:rsid w:val="005F3894"/>
    <w:rsid w:val="006005C2"/>
    <w:rsid w:val="0060351A"/>
    <w:rsid w:val="006178BA"/>
    <w:rsid w:val="00633E71"/>
    <w:rsid w:val="00640CAB"/>
    <w:rsid w:val="0064724A"/>
    <w:rsid w:val="00660D8A"/>
    <w:rsid w:val="00677E5F"/>
    <w:rsid w:val="006818D2"/>
    <w:rsid w:val="00690ADC"/>
    <w:rsid w:val="00695A4C"/>
    <w:rsid w:val="00697085"/>
    <w:rsid w:val="006A1329"/>
    <w:rsid w:val="006A3717"/>
    <w:rsid w:val="006C7992"/>
    <w:rsid w:val="006D309B"/>
    <w:rsid w:val="006E1722"/>
    <w:rsid w:val="006E522C"/>
    <w:rsid w:val="006F0ECA"/>
    <w:rsid w:val="00700F63"/>
    <w:rsid w:val="0070100C"/>
    <w:rsid w:val="0070624E"/>
    <w:rsid w:val="00706404"/>
    <w:rsid w:val="0071267F"/>
    <w:rsid w:val="007214FD"/>
    <w:rsid w:val="0073602B"/>
    <w:rsid w:val="007413F4"/>
    <w:rsid w:val="0074370B"/>
    <w:rsid w:val="007470AC"/>
    <w:rsid w:val="00754F44"/>
    <w:rsid w:val="00770DE1"/>
    <w:rsid w:val="0077623B"/>
    <w:rsid w:val="00777C96"/>
    <w:rsid w:val="00777F54"/>
    <w:rsid w:val="00783D1E"/>
    <w:rsid w:val="007851C8"/>
    <w:rsid w:val="00791402"/>
    <w:rsid w:val="00793B40"/>
    <w:rsid w:val="00796D9A"/>
    <w:rsid w:val="007A0BAB"/>
    <w:rsid w:val="007B238B"/>
    <w:rsid w:val="007D0ACE"/>
    <w:rsid w:val="007D15F3"/>
    <w:rsid w:val="007F76F6"/>
    <w:rsid w:val="00814A6A"/>
    <w:rsid w:val="00827ED5"/>
    <w:rsid w:val="00827F27"/>
    <w:rsid w:val="00831534"/>
    <w:rsid w:val="008458C7"/>
    <w:rsid w:val="00846C6A"/>
    <w:rsid w:val="00863C96"/>
    <w:rsid w:val="00866D38"/>
    <w:rsid w:val="00867D14"/>
    <w:rsid w:val="008741F8"/>
    <w:rsid w:val="00877102"/>
    <w:rsid w:val="00877E55"/>
    <w:rsid w:val="008867AF"/>
    <w:rsid w:val="00892744"/>
    <w:rsid w:val="008A68A4"/>
    <w:rsid w:val="008B3330"/>
    <w:rsid w:val="008B5CCB"/>
    <w:rsid w:val="008B6F2E"/>
    <w:rsid w:val="008E2FF4"/>
    <w:rsid w:val="008E554C"/>
    <w:rsid w:val="008E7040"/>
    <w:rsid w:val="008F21D6"/>
    <w:rsid w:val="008F2477"/>
    <w:rsid w:val="00913526"/>
    <w:rsid w:val="00922DDB"/>
    <w:rsid w:val="00924DB6"/>
    <w:rsid w:val="009275A3"/>
    <w:rsid w:val="00943CF4"/>
    <w:rsid w:val="00950BC1"/>
    <w:rsid w:val="00954D57"/>
    <w:rsid w:val="00960555"/>
    <w:rsid w:val="0096412E"/>
    <w:rsid w:val="00965A21"/>
    <w:rsid w:val="0099325F"/>
    <w:rsid w:val="00997A92"/>
    <w:rsid w:val="009D00BF"/>
    <w:rsid w:val="009D0E9F"/>
    <w:rsid w:val="009D67B7"/>
    <w:rsid w:val="009E134A"/>
    <w:rsid w:val="009F05DB"/>
    <w:rsid w:val="009F0E45"/>
    <w:rsid w:val="00A01C7C"/>
    <w:rsid w:val="00A06A68"/>
    <w:rsid w:val="00A0762A"/>
    <w:rsid w:val="00A109E4"/>
    <w:rsid w:val="00A149AC"/>
    <w:rsid w:val="00A17DD0"/>
    <w:rsid w:val="00A202F0"/>
    <w:rsid w:val="00A20A6C"/>
    <w:rsid w:val="00A372C5"/>
    <w:rsid w:val="00A37709"/>
    <w:rsid w:val="00A417B9"/>
    <w:rsid w:val="00A42088"/>
    <w:rsid w:val="00A47D6F"/>
    <w:rsid w:val="00A56961"/>
    <w:rsid w:val="00A767DA"/>
    <w:rsid w:val="00A76940"/>
    <w:rsid w:val="00A77674"/>
    <w:rsid w:val="00A9093D"/>
    <w:rsid w:val="00AA632D"/>
    <w:rsid w:val="00AA6E05"/>
    <w:rsid w:val="00AD3C75"/>
    <w:rsid w:val="00AD3D13"/>
    <w:rsid w:val="00AE385D"/>
    <w:rsid w:val="00AE7DFA"/>
    <w:rsid w:val="00B1439C"/>
    <w:rsid w:val="00B25B52"/>
    <w:rsid w:val="00B51F93"/>
    <w:rsid w:val="00B675E1"/>
    <w:rsid w:val="00B70CBE"/>
    <w:rsid w:val="00B86341"/>
    <w:rsid w:val="00B969BD"/>
    <w:rsid w:val="00BA14B7"/>
    <w:rsid w:val="00BA27FC"/>
    <w:rsid w:val="00BB1C39"/>
    <w:rsid w:val="00BB2DD9"/>
    <w:rsid w:val="00BB55A5"/>
    <w:rsid w:val="00BD3B39"/>
    <w:rsid w:val="00BD4A4A"/>
    <w:rsid w:val="00BF28CD"/>
    <w:rsid w:val="00BF48E9"/>
    <w:rsid w:val="00BF628E"/>
    <w:rsid w:val="00C0389C"/>
    <w:rsid w:val="00C0676F"/>
    <w:rsid w:val="00C17255"/>
    <w:rsid w:val="00C24537"/>
    <w:rsid w:val="00C43C9D"/>
    <w:rsid w:val="00C446A6"/>
    <w:rsid w:val="00C448C0"/>
    <w:rsid w:val="00C72898"/>
    <w:rsid w:val="00C91669"/>
    <w:rsid w:val="00CB07AD"/>
    <w:rsid w:val="00CB287B"/>
    <w:rsid w:val="00CB7AD3"/>
    <w:rsid w:val="00CD2545"/>
    <w:rsid w:val="00CD71DC"/>
    <w:rsid w:val="00CE1965"/>
    <w:rsid w:val="00CF358A"/>
    <w:rsid w:val="00CF3B29"/>
    <w:rsid w:val="00CF667D"/>
    <w:rsid w:val="00D018E3"/>
    <w:rsid w:val="00D01980"/>
    <w:rsid w:val="00D11438"/>
    <w:rsid w:val="00D20E54"/>
    <w:rsid w:val="00D22144"/>
    <w:rsid w:val="00D25496"/>
    <w:rsid w:val="00D279FF"/>
    <w:rsid w:val="00D41E2E"/>
    <w:rsid w:val="00D52A91"/>
    <w:rsid w:val="00D67082"/>
    <w:rsid w:val="00D73B11"/>
    <w:rsid w:val="00D75D16"/>
    <w:rsid w:val="00D83453"/>
    <w:rsid w:val="00D8608D"/>
    <w:rsid w:val="00D940DF"/>
    <w:rsid w:val="00DA157D"/>
    <w:rsid w:val="00DB25B6"/>
    <w:rsid w:val="00DE2E9E"/>
    <w:rsid w:val="00DE4432"/>
    <w:rsid w:val="00DE6849"/>
    <w:rsid w:val="00DF15B4"/>
    <w:rsid w:val="00DF27D9"/>
    <w:rsid w:val="00DF2D3B"/>
    <w:rsid w:val="00E07533"/>
    <w:rsid w:val="00E11212"/>
    <w:rsid w:val="00E127A5"/>
    <w:rsid w:val="00E157F5"/>
    <w:rsid w:val="00E247B1"/>
    <w:rsid w:val="00E3294C"/>
    <w:rsid w:val="00E35B79"/>
    <w:rsid w:val="00E519BD"/>
    <w:rsid w:val="00E909EE"/>
    <w:rsid w:val="00EA2016"/>
    <w:rsid w:val="00EB28A4"/>
    <w:rsid w:val="00EB308D"/>
    <w:rsid w:val="00EC650D"/>
    <w:rsid w:val="00ED45F3"/>
    <w:rsid w:val="00ED6837"/>
    <w:rsid w:val="00EE1890"/>
    <w:rsid w:val="00EE2C31"/>
    <w:rsid w:val="00EF1439"/>
    <w:rsid w:val="00EF6E13"/>
    <w:rsid w:val="00F013FF"/>
    <w:rsid w:val="00F070A2"/>
    <w:rsid w:val="00F36E70"/>
    <w:rsid w:val="00F61EAF"/>
    <w:rsid w:val="00F620D9"/>
    <w:rsid w:val="00F660F0"/>
    <w:rsid w:val="00F66FDB"/>
    <w:rsid w:val="00F720DA"/>
    <w:rsid w:val="00F87D69"/>
    <w:rsid w:val="00F91E09"/>
    <w:rsid w:val="00F91F7F"/>
    <w:rsid w:val="00F94405"/>
    <w:rsid w:val="00FA0036"/>
    <w:rsid w:val="00FA5B1F"/>
    <w:rsid w:val="00FB0559"/>
    <w:rsid w:val="00FB7DF3"/>
    <w:rsid w:val="00FD04E0"/>
    <w:rsid w:val="00FD273D"/>
    <w:rsid w:val="00FD48ED"/>
    <w:rsid w:val="00FE0048"/>
    <w:rsid w:val="00FE2310"/>
    <w:rsid w:val="00FF38E1"/>
    <w:rsid w:val="00FF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FD6981FA-984C-4304-8E1E-F0A1D756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Black" w:hAnsi="Arial Black" w:cs="Arial"/>
      <w:b/>
      <w:bCs/>
      <w:sz w:val="12"/>
    </w:rPr>
  </w:style>
  <w:style w:type="paragraph" w:styleId="Heading2">
    <w:name w:val="heading 2"/>
    <w:basedOn w:val="Normal"/>
    <w:next w:val="Normal"/>
    <w:qFormat/>
    <w:rsid w:val="0056644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6708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Arial" w:hAnsi="Arial" w:cs="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gPara">
    <w:name w:val="Reg Para"/>
    <w:basedOn w:val="Normal"/>
    <w:pPr>
      <w:tabs>
        <w:tab w:val="left" w:pos="1080"/>
      </w:tabs>
    </w:pPr>
    <w:rPr>
      <w:sz w:val="24"/>
    </w:rPr>
  </w:style>
  <w:style w:type="character" w:styleId="Hyperlink">
    <w:name w:val="Hyperlink"/>
    <w:rPr>
      <w:color w:val="0000FF"/>
      <w:u w:val="single"/>
    </w:rPr>
  </w:style>
  <w:style w:type="paragraph" w:styleId="BodyText">
    <w:name w:val="Body Text"/>
    <w:basedOn w:val="Normal"/>
    <w:pPr>
      <w:jc w:val="both"/>
    </w:pPr>
    <w:rPr>
      <w:rFonts w:ascii="Arial" w:hAnsi="Arial" w:cs="Arial"/>
      <w:sz w:val="24"/>
    </w:rPr>
  </w:style>
  <w:style w:type="paragraph" w:styleId="BodyText2">
    <w:name w:val="Body Text 2"/>
    <w:basedOn w:val="Normal"/>
    <w:pPr>
      <w:jc w:val="center"/>
    </w:pPr>
    <w:rPr>
      <w:rFonts w:ascii="Arial Black" w:hAnsi="Arial Black" w:cs="Arial"/>
      <w:sz w:val="24"/>
    </w:rPr>
  </w:style>
  <w:style w:type="character" w:styleId="FollowedHyperlink">
    <w:name w:val="FollowedHyperlink"/>
    <w:rPr>
      <w:color w:val="800080"/>
      <w:u w:val="single"/>
    </w:rPr>
  </w:style>
  <w:style w:type="paragraph" w:styleId="BodyTextIndent">
    <w:name w:val="Body Text Indent"/>
    <w:basedOn w:val="Normal"/>
    <w:rsid w:val="00FE0048"/>
    <w:pPr>
      <w:spacing w:after="120"/>
      <w:ind w:left="360"/>
    </w:pPr>
  </w:style>
  <w:style w:type="table" w:styleId="TableGrid">
    <w:name w:val="Table Grid"/>
    <w:basedOn w:val="TableNormal"/>
    <w:rsid w:val="00E1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903">
    <w:name w:val="line903"/>
    <w:basedOn w:val="Normal"/>
    <w:rsid w:val="00E11212"/>
    <w:pPr>
      <w:spacing w:before="100" w:beforeAutospacing="1" w:after="100" w:afterAutospacing="1"/>
    </w:pPr>
    <w:rPr>
      <w:sz w:val="24"/>
      <w:szCs w:val="24"/>
    </w:rPr>
  </w:style>
  <w:style w:type="paragraph" w:styleId="FootnoteText">
    <w:name w:val="footnote text"/>
    <w:basedOn w:val="Normal"/>
    <w:semiHidden/>
    <w:rsid w:val="00516414"/>
  </w:style>
  <w:style w:type="character" w:styleId="FootnoteReference">
    <w:name w:val="footnote reference"/>
    <w:semiHidden/>
    <w:rsid w:val="00516414"/>
    <w:rPr>
      <w:vertAlign w:val="superscript"/>
    </w:rPr>
  </w:style>
  <w:style w:type="paragraph" w:customStyle="1" w:styleId="numbered-1">
    <w:name w:val="numbered-1"/>
    <w:basedOn w:val="Normal"/>
    <w:rsid w:val="0043199D"/>
    <w:pPr>
      <w:numPr>
        <w:numId w:val="33"/>
      </w:numPr>
      <w:spacing w:before="120"/>
    </w:pPr>
    <w:rPr>
      <w:rFonts w:ascii="Arial" w:hAnsi="Arial" w:cs="Arial"/>
      <w:sz w:val="24"/>
    </w:rPr>
  </w:style>
  <w:style w:type="paragraph" w:customStyle="1" w:styleId="numbered-1extension">
    <w:name w:val="numbered-1 extension"/>
    <w:basedOn w:val="Normal"/>
    <w:rsid w:val="00CD71DC"/>
    <w:pPr>
      <w:ind w:left="450" w:right="720"/>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7194">
      <w:bodyDiv w:val="1"/>
      <w:marLeft w:val="0"/>
      <w:marRight w:val="0"/>
      <w:marTop w:val="0"/>
      <w:marBottom w:val="0"/>
      <w:divBdr>
        <w:top w:val="none" w:sz="0" w:space="0" w:color="auto"/>
        <w:left w:val="none" w:sz="0" w:space="0" w:color="auto"/>
        <w:bottom w:val="none" w:sz="0" w:space="0" w:color="auto"/>
        <w:right w:val="none" w:sz="0" w:space="0" w:color="auto"/>
      </w:divBdr>
    </w:div>
    <w:div w:id="319624210">
      <w:bodyDiv w:val="1"/>
      <w:marLeft w:val="0"/>
      <w:marRight w:val="0"/>
      <w:marTop w:val="0"/>
      <w:marBottom w:val="0"/>
      <w:divBdr>
        <w:top w:val="none" w:sz="0" w:space="0" w:color="auto"/>
        <w:left w:val="none" w:sz="0" w:space="0" w:color="auto"/>
        <w:bottom w:val="none" w:sz="0" w:space="0" w:color="auto"/>
        <w:right w:val="none" w:sz="0" w:space="0" w:color="auto"/>
      </w:divBdr>
    </w:div>
    <w:div w:id="343746817">
      <w:bodyDiv w:val="1"/>
      <w:marLeft w:val="0"/>
      <w:marRight w:val="0"/>
      <w:marTop w:val="0"/>
      <w:marBottom w:val="0"/>
      <w:divBdr>
        <w:top w:val="none" w:sz="0" w:space="0" w:color="auto"/>
        <w:left w:val="none" w:sz="0" w:space="0" w:color="auto"/>
        <w:bottom w:val="none" w:sz="0" w:space="0" w:color="auto"/>
        <w:right w:val="none" w:sz="0" w:space="0" w:color="auto"/>
      </w:divBdr>
    </w:div>
    <w:div w:id="439686258">
      <w:bodyDiv w:val="1"/>
      <w:marLeft w:val="0"/>
      <w:marRight w:val="0"/>
      <w:marTop w:val="0"/>
      <w:marBottom w:val="0"/>
      <w:divBdr>
        <w:top w:val="none" w:sz="0" w:space="0" w:color="auto"/>
        <w:left w:val="none" w:sz="0" w:space="0" w:color="auto"/>
        <w:bottom w:val="none" w:sz="0" w:space="0" w:color="auto"/>
        <w:right w:val="none" w:sz="0" w:space="0" w:color="auto"/>
      </w:divBdr>
    </w:div>
    <w:div w:id="1243181944">
      <w:bodyDiv w:val="1"/>
      <w:marLeft w:val="0"/>
      <w:marRight w:val="0"/>
      <w:marTop w:val="0"/>
      <w:marBottom w:val="0"/>
      <w:divBdr>
        <w:top w:val="none" w:sz="0" w:space="0" w:color="auto"/>
        <w:left w:val="none" w:sz="0" w:space="0" w:color="auto"/>
        <w:bottom w:val="none" w:sz="0" w:space="0" w:color="auto"/>
        <w:right w:val="none" w:sz="0" w:space="0" w:color="auto"/>
      </w:divBdr>
    </w:div>
    <w:div w:id="1397121472">
      <w:bodyDiv w:val="1"/>
      <w:marLeft w:val="0"/>
      <w:marRight w:val="0"/>
      <w:marTop w:val="0"/>
      <w:marBottom w:val="0"/>
      <w:divBdr>
        <w:top w:val="none" w:sz="0" w:space="0" w:color="auto"/>
        <w:left w:val="none" w:sz="0" w:space="0" w:color="auto"/>
        <w:bottom w:val="none" w:sz="0" w:space="0" w:color="auto"/>
        <w:right w:val="none" w:sz="0" w:space="0" w:color="auto"/>
      </w:divBdr>
    </w:div>
    <w:div w:id="1989165114">
      <w:bodyDiv w:val="1"/>
      <w:marLeft w:val="0"/>
      <w:marRight w:val="0"/>
      <w:marTop w:val="0"/>
      <w:marBottom w:val="0"/>
      <w:divBdr>
        <w:top w:val="none" w:sz="0" w:space="0" w:color="auto"/>
        <w:left w:val="none" w:sz="0" w:space="0" w:color="auto"/>
        <w:bottom w:val="none" w:sz="0" w:space="0" w:color="auto"/>
        <w:right w:val="none" w:sz="0" w:space="0" w:color="auto"/>
      </w:divBdr>
      <w:divsChild>
        <w:div w:id="314919587">
          <w:marLeft w:val="0"/>
          <w:marRight w:val="0"/>
          <w:marTop w:val="0"/>
          <w:marBottom w:val="0"/>
          <w:divBdr>
            <w:top w:val="none" w:sz="0" w:space="0" w:color="auto"/>
            <w:left w:val="none" w:sz="0" w:space="0" w:color="auto"/>
            <w:bottom w:val="none" w:sz="0" w:space="0" w:color="auto"/>
            <w:right w:val="none" w:sz="0" w:space="0" w:color="auto"/>
          </w:divBdr>
        </w:div>
        <w:div w:id="760952349">
          <w:marLeft w:val="0"/>
          <w:marRight w:val="0"/>
          <w:marTop w:val="0"/>
          <w:marBottom w:val="0"/>
          <w:divBdr>
            <w:top w:val="none" w:sz="0" w:space="0" w:color="auto"/>
            <w:left w:val="none" w:sz="0" w:space="0" w:color="auto"/>
            <w:bottom w:val="none" w:sz="0" w:space="0" w:color="auto"/>
            <w:right w:val="none" w:sz="0" w:space="0" w:color="auto"/>
          </w:divBdr>
          <w:divsChild>
            <w:div w:id="764032807">
              <w:marLeft w:val="0"/>
              <w:marRight w:val="0"/>
              <w:marTop w:val="0"/>
              <w:marBottom w:val="0"/>
              <w:divBdr>
                <w:top w:val="none" w:sz="0" w:space="0" w:color="auto"/>
                <w:left w:val="none" w:sz="0" w:space="0" w:color="auto"/>
                <w:bottom w:val="none" w:sz="0" w:space="0" w:color="auto"/>
                <w:right w:val="none" w:sz="0" w:space="0" w:color="auto"/>
              </w:divBdr>
              <w:divsChild>
                <w:div w:id="554849844">
                  <w:marLeft w:val="0"/>
                  <w:marRight w:val="0"/>
                  <w:marTop w:val="0"/>
                  <w:marBottom w:val="0"/>
                  <w:divBdr>
                    <w:top w:val="none" w:sz="0" w:space="0" w:color="auto"/>
                    <w:left w:val="none" w:sz="0" w:space="0" w:color="auto"/>
                    <w:bottom w:val="none" w:sz="0" w:space="0" w:color="auto"/>
                    <w:right w:val="none" w:sz="0" w:space="0" w:color="auto"/>
                  </w:divBdr>
                </w:div>
                <w:div w:id="587733150">
                  <w:marLeft w:val="0"/>
                  <w:marRight w:val="0"/>
                  <w:marTop w:val="0"/>
                  <w:marBottom w:val="0"/>
                  <w:divBdr>
                    <w:top w:val="none" w:sz="0" w:space="0" w:color="auto"/>
                    <w:left w:val="none" w:sz="0" w:space="0" w:color="auto"/>
                    <w:bottom w:val="none" w:sz="0" w:space="0" w:color="auto"/>
                    <w:right w:val="none" w:sz="0" w:space="0" w:color="auto"/>
                  </w:divBdr>
                </w:div>
                <w:div w:id="977881594">
                  <w:marLeft w:val="0"/>
                  <w:marRight w:val="0"/>
                  <w:marTop w:val="0"/>
                  <w:marBottom w:val="0"/>
                  <w:divBdr>
                    <w:top w:val="none" w:sz="0" w:space="0" w:color="auto"/>
                    <w:left w:val="none" w:sz="0" w:space="0" w:color="auto"/>
                    <w:bottom w:val="none" w:sz="0" w:space="0" w:color="auto"/>
                    <w:right w:val="none" w:sz="0" w:space="0" w:color="auto"/>
                  </w:divBdr>
                </w:div>
                <w:div w:id="1953631901">
                  <w:marLeft w:val="0"/>
                  <w:marRight w:val="0"/>
                  <w:marTop w:val="0"/>
                  <w:marBottom w:val="0"/>
                  <w:divBdr>
                    <w:top w:val="none" w:sz="0" w:space="0" w:color="auto"/>
                    <w:left w:val="none" w:sz="0" w:space="0" w:color="auto"/>
                    <w:bottom w:val="none" w:sz="0" w:space="0" w:color="auto"/>
                    <w:right w:val="none" w:sz="0" w:space="0" w:color="auto"/>
                  </w:divBdr>
                </w:div>
              </w:divsChild>
            </w:div>
            <w:div w:id="794375770">
              <w:marLeft w:val="0"/>
              <w:marRight w:val="0"/>
              <w:marTop w:val="0"/>
              <w:marBottom w:val="0"/>
              <w:divBdr>
                <w:top w:val="none" w:sz="0" w:space="0" w:color="auto"/>
                <w:left w:val="none" w:sz="0" w:space="0" w:color="auto"/>
                <w:bottom w:val="none" w:sz="0" w:space="0" w:color="auto"/>
                <w:right w:val="none" w:sz="0" w:space="0" w:color="auto"/>
              </w:divBdr>
              <w:divsChild>
                <w:div w:id="1597860966">
                  <w:marLeft w:val="0"/>
                  <w:marRight w:val="0"/>
                  <w:marTop w:val="0"/>
                  <w:marBottom w:val="0"/>
                  <w:divBdr>
                    <w:top w:val="none" w:sz="0" w:space="0" w:color="auto"/>
                    <w:left w:val="none" w:sz="0" w:space="0" w:color="auto"/>
                    <w:bottom w:val="none" w:sz="0" w:space="0" w:color="auto"/>
                    <w:right w:val="none" w:sz="0" w:space="0" w:color="auto"/>
                  </w:divBdr>
                </w:div>
              </w:divsChild>
            </w:div>
            <w:div w:id="1590578516">
              <w:marLeft w:val="0"/>
              <w:marRight w:val="0"/>
              <w:marTop w:val="0"/>
              <w:marBottom w:val="0"/>
              <w:divBdr>
                <w:top w:val="none" w:sz="0" w:space="0" w:color="auto"/>
                <w:left w:val="none" w:sz="0" w:space="0" w:color="auto"/>
                <w:bottom w:val="none" w:sz="0" w:space="0" w:color="auto"/>
                <w:right w:val="none" w:sz="0" w:space="0" w:color="auto"/>
              </w:divBdr>
              <w:divsChild>
                <w:div w:id="598148689">
                  <w:marLeft w:val="0"/>
                  <w:marRight w:val="0"/>
                  <w:marTop w:val="0"/>
                  <w:marBottom w:val="0"/>
                  <w:divBdr>
                    <w:top w:val="none" w:sz="0" w:space="0" w:color="auto"/>
                    <w:left w:val="none" w:sz="0" w:space="0" w:color="auto"/>
                    <w:bottom w:val="none" w:sz="0" w:space="0" w:color="auto"/>
                    <w:right w:val="none" w:sz="0" w:space="0" w:color="auto"/>
                  </w:divBdr>
                </w:div>
                <w:div w:id="731463824">
                  <w:marLeft w:val="0"/>
                  <w:marRight w:val="0"/>
                  <w:marTop w:val="0"/>
                  <w:marBottom w:val="0"/>
                  <w:divBdr>
                    <w:top w:val="none" w:sz="0" w:space="0" w:color="auto"/>
                    <w:left w:val="none" w:sz="0" w:space="0" w:color="auto"/>
                    <w:bottom w:val="none" w:sz="0" w:space="0" w:color="auto"/>
                    <w:right w:val="none" w:sz="0" w:space="0" w:color="auto"/>
                  </w:divBdr>
                </w:div>
              </w:divsChild>
            </w:div>
            <w:div w:id="1878809671">
              <w:marLeft w:val="0"/>
              <w:marRight w:val="0"/>
              <w:marTop w:val="0"/>
              <w:marBottom w:val="0"/>
              <w:divBdr>
                <w:top w:val="none" w:sz="0" w:space="0" w:color="auto"/>
                <w:left w:val="none" w:sz="0" w:space="0" w:color="auto"/>
                <w:bottom w:val="none" w:sz="0" w:space="0" w:color="auto"/>
                <w:right w:val="none" w:sz="0" w:space="0" w:color="auto"/>
              </w:divBdr>
              <w:divsChild>
                <w:div w:id="62335636">
                  <w:marLeft w:val="0"/>
                  <w:marRight w:val="0"/>
                  <w:marTop w:val="0"/>
                  <w:marBottom w:val="0"/>
                  <w:divBdr>
                    <w:top w:val="none" w:sz="0" w:space="0" w:color="auto"/>
                    <w:left w:val="none" w:sz="0" w:space="0" w:color="auto"/>
                    <w:bottom w:val="none" w:sz="0" w:space="0" w:color="auto"/>
                    <w:right w:val="none" w:sz="0" w:space="0" w:color="auto"/>
                  </w:divBdr>
                </w:div>
                <w:div w:id="246813408">
                  <w:marLeft w:val="0"/>
                  <w:marRight w:val="0"/>
                  <w:marTop w:val="0"/>
                  <w:marBottom w:val="0"/>
                  <w:divBdr>
                    <w:top w:val="none" w:sz="0" w:space="0" w:color="auto"/>
                    <w:left w:val="none" w:sz="0" w:space="0" w:color="auto"/>
                    <w:bottom w:val="none" w:sz="0" w:space="0" w:color="auto"/>
                    <w:right w:val="none" w:sz="0" w:space="0" w:color="auto"/>
                  </w:divBdr>
                </w:div>
                <w:div w:id="354308416">
                  <w:marLeft w:val="0"/>
                  <w:marRight w:val="0"/>
                  <w:marTop w:val="0"/>
                  <w:marBottom w:val="0"/>
                  <w:divBdr>
                    <w:top w:val="none" w:sz="0" w:space="0" w:color="auto"/>
                    <w:left w:val="none" w:sz="0" w:space="0" w:color="auto"/>
                    <w:bottom w:val="none" w:sz="0" w:space="0" w:color="auto"/>
                    <w:right w:val="none" w:sz="0" w:space="0" w:color="auto"/>
                  </w:divBdr>
                </w:div>
                <w:div w:id="394403348">
                  <w:marLeft w:val="0"/>
                  <w:marRight w:val="0"/>
                  <w:marTop w:val="0"/>
                  <w:marBottom w:val="0"/>
                  <w:divBdr>
                    <w:top w:val="none" w:sz="0" w:space="0" w:color="auto"/>
                    <w:left w:val="none" w:sz="0" w:space="0" w:color="auto"/>
                    <w:bottom w:val="none" w:sz="0" w:space="0" w:color="auto"/>
                    <w:right w:val="none" w:sz="0" w:space="0" w:color="auto"/>
                  </w:divBdr>
                </w:div>
                <w:div w:id="459500042">
                  <w:marLeft w:val="0"/>
                  <w:marRight w:val="0"/>
                  <w:marTop w:val="0"/>
                  <w:marBottom w:val="0"/>
                  <w:divBdr>
                    <w:top w:val="none" w:sz="0" w:space="0" w:color="auto"/>
                    <w:left w:val="none" w:sz="0" w:space="0" w:color="auto"/>
                    <w:bottom w:val="none" w:sz="0" w:space="0" w:color="auto"/>
                    <w:right w:val="none" w:sz="0" w:space="0" w:color="auto"/>
                  </w:divBdr>
                </w:div>
                <w:div w:id="493687632">
                  <w:marLeft w:val="0"/>
                  <w:marRight w:val="0"/>
                  <w:marTop w:val="0"/>
                  <w:marBottom w:val="0"/>
                  <w:divBdr>
                    <w:top w:val="none" w:sz="0" w:space="0" w:color="auto"/>
                    <w:left w:val="none" w:sz="0" w:space="0" w:color="auto"/>
                    <w:bottom w:val="none" w:sz="0" w:space="0" w:color="auto"/>
                    <w:right w:val="none" w:sz="0" w:space="0" w:color="auto"/>
                  </w:divBdr>
                </w:div>
                <w:div w:id="676928812">
                  <w:marLeft w:val="0"/>
                  <w:marRight w:val="0"/>
                  <w:marTop w:val="0"/>
                  <w:marBottom w:val="0"/>
                  <w:divBdr>
                    <w:top w:val="none" w:sz="0" w:space="0" w:color="auto"/>
                    <w:left w:val="none" w:sz="0" w:space="0" w:color="auto"/>
                    <w:bottom w:val="none" w:sz="0" w:space="0" w:color="auto"/>
                    <w:right w:val="none" w:sz="0" w:space="0" w:color="auto"/>
                  </w:divBdr>
                </w:div>
                <w:div w:id="1308507709">
                  <w:marLeft w:val="0"/>
                  <w:marRight w:val="0"/>
                  <w:marTop w:val="0"/>
                  <w:marBottom w:val="0"/>
                  <w:divBdr>
                    <w:top w:val="none" w:sz="0" w:space="0" w:color="auto"/>
                    <w:left w:val="none" w:sz="0" w:space="0" w:color="auto"/>
                    <w:bottom w:val="none" w:sz="0" w:space="0" w:color="auto"/>
                    <w:right w:val="none" w:sz="0" w:space="0" w:color="auto"/>
                  </w:divBdr>
                </w:div>
                <w:div w:id="1425884898">
                  <w:marLeft w:val="0"/>
                  <w:marRight w:val="0"/>
                  <w:marTop w:val="0"/>
                  <w:marBottom w:val="0"/>
                  <w:divBdr>
                    <w:top w:val="none" w:sz="0" w:space="0" w:color="auto"/>
                    <w:left w:val="none" w:sz="0" w:space="0" w:color="auto"/>
                    <w:bottom w:val="none" w:sz="0" w:space="0" w:color="auto"/>
                    <w:right w:val="none" w:sz="0" w:space="0" w:color="auto"/>
                  </w:divBdr>
                </w:div>
                <w:div w:id="1663701254">
                  <w:marLeft w:val="0"/>
                  <w:marRight w:val="0"/>
                  <w:marTop w:val="0"/>
                  <w:marBottom w:val="0"/>
                  <w:divBdr>
                    <w:top w:val="none" w:sz="0" w:space="0" w:color="auto"/>
                    <w:left w:val="none" w:sz="0" w:space="0" w:color="auto"/>
                    <w:bottom w:val="none" w:sz="0" w:space="0" w:color="auto"/>
                    <w:right w:val="none" w:sz="0" w:space="0" w:color="auto"/>
                  </w:divBdr>
                </w:div>
                <w:div w:id="1677344121">
                  <w:marLeft w:val="0"/>
                  <w:marRight w:val="0"/>
                  <w:marTop w:val="0"/>
                  <w:marBottom w:val="0"/>
                  <w:divBdr>
                    <w:top w:val="none" w:sz="0" w:space="0" w:color="auto"/>
                    <w:left w:val="none" w:sz="0" w:space="0" w:color="auto"/>
                    <w:bottom w:val="none" w:sz="0" w:space="0" w:color="auto"/>
                    <w:right w:val="none" w:sz="0" w:space="0" w:color="auto"/>
                  </w:divBdr>
                </w:div>
                <w:div w:id="1720058568">
                  <w:marLeft w:val="0"/>
                  <w:marRight w:val="0"/>
                  <w:marTop w:val="0"/>
                  <w:marBottom w:val="0"/>
                  <w:divBdr>
                    <w:top w:val="none" w:sz="0" w:space="0" w:color="auto"/>
                    <w:left w:val="none" w:sz="0" w:space="0" w:color="auto"/>
                    <w:bottom w:val="none" w:sz="0" w:space="0" w:color="auto"/>
                    <w:right w:val="none" w:sz="0" w:space="0" w:color="auto"/>
                  </w:divBdr>
                </w:div>
                <w:div w:id="1720475502">
                  <w:marLeft w:val="0"/>
                  <w:marRight w:val="0"/>
                  <w:marTop w:val="0"/>
                  <w:marBottom w:val="0"/>
                  <w:divBdr>
                    <w:top w:val="none" w:sz="0" w:space="0" w:color="auto"/>
                    <w:left w:val="none" w:sz="0" w:space="0" w:color="auto"/>
                    <w:bottom w:val="none" w:sz="0" w:space="0" w:color="auto"/>
                    <w:right w:val="none" w:sz="0" w:space="0" w:color="auto"/>
                  </w:divBdr>
                </w:div>
                <w:div w:id="1762263496">
                  <w:marLeft w:val="0"/>
                  <w:marRight w:val="0"/>
                  <w:marTop w:val="0"/>
                  <w:marBottom w:val="0"/>
                  <w:divBdr>
                    <w:top w:val="none" w:sz="0" w:space="0" w:color="auto"/>
                    <w:left w:val="none" w:sz="0" w:space="0" w:color="auto"/>
                    <w:bottom w:val="none" w:sz="0" w:space="0" w:color="auto"/>
                    <w:right w:val="none" w:sz="0" w:space="0" w:color="auto"/>
                  </w:divBdr>
                </w:div>
                <w:div w:id="1885865999">
                  <w:marLeft w:val="0"/>
                  <w:marRight w:val="0"/>
                  <w:marTop w:val="0"/>
                  <w:marBottom w:val="0"/>
                  <w:divBdr>
                    <w:top w:val="none" w:sz="0" w:space="0" w:color="auto"/>
                    <w:left w:val="none" w:sz="0" w:space="0" w:color="auto"/>
                    <w:bottom w:val="none" w:sz="0" w:space="0" w:color="auto"/>
                    <w:right w:val="none" w:sz="0" w:space="0" w:color="auto"/>
                  </w:divBdr>
                </w:div>
                <w:div w:id="211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cc.ligo.org/LIGO-T1600046" TargetMode="External"/><Relationship Id="rId13" Type="http://schemas.openxmlformats.org/officeDocument/2006/relationships/image" Target="media/image1.emf"/><Relationship Id="rId18" Type="http://schemas.openxmlformats.org/officeDocument/2006/relationships/hyperlink" Target="https://dcc.ligo.org/LIGO-E97013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cc.ligo.org/LIGO-D1500314" TargetMode="External"/><Relationship Id="rId7" Type="http://schemas.openxmlformats.org/officeDocument/2006/relationships/endnotes" Target="endnotes.xml"/><Relationship Id="rId12" Type="http://schemas.openxmlformats.org/officeDocument/2006/relationships/hyperlink" Target="https://dcc.ligo.org/LIGO-T1600098" TargetMode="External"/><Relationship Id="rId17" Type="http://schemas.openxmlformats.org/officeDocument/2006/relationships/hyperlink" Target="https://dcc.ligo.org/LIGO-D150031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cc.ligo.org/LIGO-D1500312" TargetMode="External"/><Relationship Id="rId20" Type="http://schemas.openxmlformats.org/officeDocument/2006/relationships/hyperlink" Target="https://dcc.ligo.org/LIGO-D14002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c.ligo.org/LIGO-T160004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cc.ligo.org/LIGO-D150031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dcc.ligo.org/LIGO-E1600007" TargetMode="External"/><Relationship Id="rId19" Type="http://schemas.openxmlformats.org/officeDocument/2006/relationships/hyperlink" Target="https://dcc.ligo.org/LIGO-D1400298" TargetMode="External"/><Relationship Id="rId4" Type="http://schemas.openxmlformats.org/officeDocument/2006/relationships/settings" Target="settings.xml"/><Relationship Id="rId9" Type="http://schemas.openxmlformats.org/officeDocument/2006/relationships/hyperlink" Target="https://dcc.ligo.org/LIGO-E1600011" TargetMode="External"/><Relationship Id="rId14" Type="http://schemas.openxmlformats.org/officeDocument/2006/relationships/hyperlink" Target="https://dcc.ligo.org/LIGO-E1600011" TargetMode="External"/><Relationship Id="rId22" Type="http://schemas.openxmlformats.org/officeDocument/2006/relationships/hyperlink" Target="https://dcc.ligo.org/LIGO-D1500314"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F15C-3840-4857-A2EF-789F9D14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CALTECH</Company>
  <LinksUpToDate>false</LinksUpToDate>
  <CharactersWithSpaces>7949</CharactersWithSpaces>
  <SharedDoc>false</SharedDoc>
  <HLinks>
    <vt:vector size="6" baseType="variant">
      <vt:variant>
        <vt:i4>3145788</vt:i4>
      </vt:variant>
      <vt:variant>
        <vt:i4>27</vt:i4>
      </vt:variant>
      <vt:variant>
        <vt:i4>0</vt:i4>
      </vt:variant>
      <vt:variant>
        <vt:i4>5</vt:i4>
      </vt:variant>
      <vt:variant>
        <vt:lpwstr>https://dcc.ligo.org/cgi-bin/private/DocDB/ShowDocument?docid=22126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RITA TORRES, LIGO PROJECT</dc:creator>
  <cp:keywords/>
  <cp:lastModifiedBy>coyne</cp:lastModifiedBy>
  <cp:revision>2</cp:revision>
  <cp:lastPrinted>2008-02-15T08:38:00Z</cp:lastPrinted>
  <dcterms:created xsi:type="dcterms:W3CDTF">2016-04-08T22:29:00Z</dcterms:created>
  <dcterms:modified xsi:type="dcterms:W3CDTF">2016-04-08T22:29:00Z</dcterms:modified>
</cp:coreProperties>
</file>