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FE4FE2" w14:textId="77777777" w:rsidR="00C65AA5" w:rsidRPr="00111D72" w:rsidRDefault="00C65AA5">
      <w:pPr>
        <w:pStyle w:val="PlainText"/>
        <w:jc w:val="center"/>
        <w:rPr>
          <w:i/>
          <w:sz w:val="36"/>
          <w:lang w:eastAsia="ja-JP"/>
        </w:rPr>
      </w:pPr>
      <w:r>
        <w:rPr>
          <w:i/>
          <w:sz w:val="36"/>
        </w:rPr>
        <w:fldChar w:fldCharType="begin"/>
      </w:r>
      <w:bookmarkStart w:id="0" w:name="_Ref124846935"/>
      <w:bookmarkStart w:id="1" w:name="_Ref124846916"/>
      <w:bookmarkStart w:id="2" w:name="_Ref123122746"/>
      <w:bookmarkEnd w:id="0"/>
      <w:bookmarkEnd w:id="1"/>
      <w:bookmarkEnd w:id="2"/>
      <w:r>
        <w:rPr>
          <w:i/>
          <w:sz w:val="36"/>
        </w:rPr>
        <w:instrText xml:space="preserve"> MACROBUTTON MTEditEquationSection2 </w:instrText>
      </w:r>
      <w:r w:rsidRPr="003F475F">
        <w:rPr>
          <w:rStyle w:val="MTEquationSection"/>
        </w:rPr>
        <w:instrText>Equation Chapter 1 Section 1</w:instrText>
      </w:r>
      <w:r>
        <w:rPr>
          <w:i/>
          <w:sz w:val="36"/>
        </w:rPr>
        <w:fldChar w:fldCharType="begin"/>
      </w:r>
      <w:r>
        <w:rPr>
          <w:i/>
          <w:sz w:val="36"/>
        </w:rPr>
        <w:instrText xml:space="preserve"> SEQ MTEqn \r \h \* MERGEFORMAT </w:instrText>
      </w:r>
      <w:r>
        <w:rPr>
          <w:i/>
          <w:sz w:val="36"/>
        </w:rPr>
        <w:fldChar w:fldCharType="end"/>
      </w:r>
      <w:r>
        <w:rPr>
          <w:i/>
          <w:sz w:val="36"/>
        </w:rPr>
        <w:fldChar w:fldCharType="begin"/>
      </w:r>
      <w:r>
        <w:rPr>
          <w:i/>
          <w:sz w:val="36"/>
        </w:rPr>
        <w:instrText xml:space="preserve"> SEQ MTSec \r 1 \h \* MERGEFORMAT </w:instrText>
      </w:r>
      <w:r>
        <w:rPr>
          <w:i/>
          <w:sz w:val="36"/>
        </w:rPr>
        <w:fldChar w:fldCharType="end"/>
      </w:r>
      <w:r>
        <w:rPr>
          <w:i/>
          <w:sz w:val="36"/>
        </w:rPr>
        <w:fldChar w:fldCharType="begin"/>
      </w:r>
      <w:r>
        <w:rPr>
          <w:i/>
          <w:sz w:val="36"/>
        </w:rPr>
        <w:instrText xml:space="preserve"> SEQ MTChap \r 1 \h \* MERGEFORMAT </w:instrText>
      </w:r>
      <w:r>
        <w:rPr>
          <w:i/>
          <w:sz w:val="36"/>
        </w:rPr>
        <w:fldChar w:fldCharType="end"/>
      </w:r>
      <w:r>
        <w:rPr>
          <w:i/>
          <w:sz w:val="36"/>
        </w:rPr>
        <w:fldChar w:fldCharType="end"/>
      </w:r>
    </w:p>
    <w:p w14:paraId="1F4B4302" w14:textId="77777777" w:rsidR="00C65AA5" w:rsidRDefault="00C65AA5">
      <w:pPr>
        <w:pStyle w:val="PlainText"/>
        <w:jc w:val="center"/>
        <w:rPr>
          <w:i/>
          <w:sz w:val="36"/>
        </w:rPr>
      </w:pPr>
      <w:r>
        <w:rPr>
          <w:i/>
          <w:sz w:val="36"/>
        </w:rPr>
        <w:t>LIGO Laboratory / LIGO Scientific Collaboration</w:t>
      </w:r>
    </w:p>
    <w:p w14:paraId="25565628" w14:textId="77777777" w:rsidR="00C65AA5" w:rsidRDefault="00C65AA5">
      <w:pPr>
        <w:pStyle w:val="PlainText"/>
        <w:jc w:val="center"/>
        <w:rPr>
          <w:sz w:val="36"/>
        </w:rPr>
      </w:pPr>
    </w:p>
    <w:p w14:paraId="7C33F95F" w14:textId="77777777" w:rsidR="00C65AA5" w:rsidRDefault="00C65AA5">
      <w:pPr>
        <w:pStyle w:val="PlainText"/>
        <w:jc w:val="left"/>
        <w:rPr>
          <w:sz w:val="36"/>
        </w:rPr>
      </w:pPr>
    </w:p>
    <w:p w14:paraId="70F29E3B" w14:textId="3163CED0" w:rsidR="00C65AA5" w:rsidRPr="006770E5" w:rsidRDefault="00F3215D">
      <w:pPr>
        <w:pBdr>
          <w:top w:val="threeDEmboss" w:sz="24" w:space="1" w:color="auto"/>
          <w:left w:val="threeDEmboss" w:sz="24" w:space="4" w:color="auto"/>
          <w:bottom w:val="threeDEmboss" w:sz="24" w:space="1" w:color="auto"/>
          <w:right w:val="threeDEmboss" w:sz="24" w:space="4" w:color="auto"/>
        </w:pBdr>
        <w:tabs>
          <w:tab w:val="center" w:pos="5040"/>
          <w:tab w:val="right" w:pos="9360"/>
        </w:tabs>
        <w:rPr>
          <w:lang w:val="de-DE"/>
        </w:rPr>
      </w:pPr>
      <w:r>
        <w:rPr>
          <w:lang w:val="de-DE"/>
        </w:rPr>
        <w:t>LIGO-</w:t>
      </w:r>
      <w:r w:rsidR="0056347D" w:rsidRPr="0056347D">
        <w:rPr>
          <w:lang w:val="de-DE"/>
        </w:rPr>
        <w:t>T</w:t>
      </w:r>
      <w:r w:rsidR="000E6EAA">
        <w:rPr>
          <w:lang w:val="de-DE"/>
        </w:rPr>
        <w:t>15000</w:t>
      </w:r>
      <w:r w:rsidR="00434826">
        <w:rPr>
          <w:lang w:val="de-DE"/>
        </w:rPr>
        <w:t>94</w:t>
      </w:r>
      <w:r>
        <w:rPr>
          <w:lang w:val="de-DE"/>
        </w:rPr>
        <w:t>-v</w:t>
      </w:r>
      <w:r w:rsidR="00444CD7">
        <w:rPr>
          <w:lang w:val="de-DE"/>
        </w:rPr>
        <w:t>3</w:t>
      </w:r>
      <w:r w:rsidR="00C65AA5" w:rsidRPr="006770E5">
        <w:rPr>
          <w:lang w:val="de-DE"/>
        </w:rPr>
        <w:tab/>
      </w:r>
      <w:r w:rsidR="00C65AA5" w:rsidRPr="006770E5">
        <w:rPr>
          <w:rFonts w:ascii="Times" w:hAnsi="Times"/>
          <w:i/>
          <w:iCs/>
          <w:color w:val="0000FF"/>
          <w:sz w:val="40"/>
          <w:lang w:val="de-DE"/>
        </w:rPr>
        <w:t>LIGO</w:t>
      </w:r>
      <w:r w:rsidR="00C65AA5" w:rsidRPr="006770E5">
        <w:rPr>
          <w:lang w:val="de-DE"/>
        </w:rPr>
        <w:tab/>
      </w:r>
      <w:bookmarkStart w:id="3" w:name="_GoBack"/>
      <w:bookmarkEnd w:id="3"/>
      <w:r w:rsidR="00444CD7" w:rsidRPr="00444CD7">
        <w:rPr>
          <w:lang w:val="de-DE"/>
        </w:rPr>
        <w:t>April 7, 2015</w:t>
      </w:r>
    </w:p>
    <w:p w14:paraId="26AD2CDB" w14:textId="77777777" w:rsidR="00C65AA5" w:rsidRDefault="00F13401">
      <w:pPr>
        <w:pBdr>
          <w:top w:val="threeDEmboss" w:sz="24" w:space="1" w:color="auto"/>
          <w:left w:val="threeDEmboss" w:sz="24" w:space="4" w:color="auto"/>
          <w:bottom w:val="threeDEmboss" w:sz="24" w:space="1" w:color="auto"/>
          <w:right w:val="threeDEmboss" w:sz="24" w:space="4" w:color="auto"/>
        </w:pBdr>
      </w:pPr>
      <w:r>
        <w:pict w14:anchorId="2E5FA2E5">
          <v:rect id="_x0000_i1025" style="width:0;height:1.5pt" o:hralign="center" o:hrstd="t" o:hr="t" fillcolor="gray" stroked="f"/>
        </w:pict>
      </w:r>
    </w:p>
    <w:p w14:paraId="5C9E84EE" w14:textId="5A387ECF" w:rsidR="00C65AA5" w:rsidRDefault="00434826" w:rsidP="00783778">
      <w:pPr>
        <w:pBdr>
          <w:top w:val="threeDEmboss" w:sz="24" w:space="1" w:color="auto"/>
          <w:left w:val="threeDEmboss" w:sz="24" w:space="4" w:color="auto"/>
          <w:bottom w:val="threeDEmboss" w:sz="24" w:space="1" w:color="auto"/>
          <w:right w:val="threeDEmboss" w:sz="24" w:space="4" w:color="auto"/>
        </w:pBdr>
        <w:jc w:val="center"/>
      </w:pPr>
      <w:r>
        <w:rPr>
          <w:rFonts w:ascii="Arial" w:hAnsi="Arial" w:cs="Arial"/>
          <w:b/>
          <w:bCs/>
          <w:sz w:val="40"/>
          <w:szCs w:val="40"/>
          <w:lang w:eastAsia="ja-JP"/>
        </w:rPr>
        <w:t>Cavity performance with large beam size</w:t>
      </w:r>
      <w:r w:rsidR="0056347D">
        <w:rPr>
          <w:rFonts w:ascii="Arial" w:hAnsi="Arial" w:cs="Arial"/>
          <w:b/>
          <w:bCs/>
          <w:sz w:val="40"/>
          <w:szCs w:val="40"/>
          <w:lang w:eastAsia="ja-JP"/>
        </w:rPr>
        <w:br/>
      </w:r>
      <w:r w:rsidR="00F13401">
        <w:pict w14:anchorId="25F8F30D">
          <v:rect id="_x0000_i1026" style="width:0;height:1.5pt" o:hralign="center" o:hrstd="t" o:hr="t" fillcolor="gray" stroked="f"/>
        </w:pict>
      </w:r>
    </w:p>
    <w:p w14:paraId="485E8137" w14:textId="77777777" w:rsidR="00C65AA5" w:rsidRDefault="00C65AA5">
      <w:pPr>
        <w:pBdr>
          <w:top w:val="threeDEmboss" w:sz="24" w:space="1" w:color="auto"/>
          <w:left w:val="threeDEmboss" w:sz="24" w:space="4" w:color="auto"/>
          <w:bottom w:val="threeDEmboss" w:sz="24" w:space="1" w:color="auto"/>
          <w:right w:val="threeDEmboss" w:sz="24" w:space="4" w:color="auto"/>
        </w:pBdr>
        <w:jc w:val="center"/>
      </w:pPr>
      <w:r>
        <w:t>Hiro Yamamoto</w:t>
      </w:r>
    </w:p>
    <w:p w14:paraId="6C900441" w14:textId="77777777" w:rsidR="00C65AA5" w:rsidRDefault="00C65AA5">
      <w:pPr>
        <w:pStyle w:val="PlainText"/>
        <w:spacing w:before="0"/>
        <w:jc w:val="center"/>
      </w:pPr>
    </w:p>
    <w:p w14:paraId="6C001351" w14:textId="77777777" w:rsidR="00C65AA5" w:rsidRDefault="00C65AA5">
      <w:pPr>
        <w:pStyle w:val="PlainText"/>
        <w:spacing w:before="0"/>
        <w:jc w:val="center"/>
      </w:pPr>
      <w:r>
        <w:t>Distribution of this document:</w:t>
      </w:r>
    </w:p>
    <w:p w14:paraId="59F2053B" w14:textId="77777777" w:rsidR="00C65AA5" w:rsidRDefault="006E7D48">
      <w:pPr>
        <w:pStyle w:val="PlainText"/>
        <w:spacing w:before="0"/>
        <w:jc w:val="center"/>
      </w:pPr>
      <w:r>
        <w:t>LIGO Scientific</w:t>
      </w:r>
      <w:r w:rsidR="00C65AA5">
        <w:t xml:space="preserve"> Collaboration</w:t>
      </w:r>
    </w:p>
    <w:p w14:paraId="34BF9D8C" w14:textId="77777777" w:rsidR="00C65AA5" w:rsidRDefault="00C65AA5">
      <w:pPr>
        <w:pStyle w:val="PlainText"/>
        <w:spacing w:before="0"/>
        <w:jc w:val="center"/>
      </w:pPr>
    </w:p>
    <w:p w14:paraId="360BDA07" w14:textId="77777777" w:rsidR="00C65AA5" w:rsidRDefault="00C65AA5">
      <w:pPr>
        <w:pStyle w:val="PlainText"/>
        <w:spacing w:before="0"/>
        <w:jc w:val="center"/>
      </w:pPr>
      <w:r>
        <w:t>This is an internal working note</w:t>
      </w:r>
    </w:p>
    <w:p w14:paraId="7FB81408" w14:textId="77777777" w:rsidR="00C65AA5" w:rsidRDefault="00C65AA5">
      <w:pPr>
        <w:pStyle w:val="PlainText"/>
        <w:spacing w:before="0"/>
        <w:jc w:val="center"/>
      </w:pPr>
      <w:proofErr w:type="gramStart"/>
      <w:r>
        <w:t>of</w:t>
      </w:r>
      <w:proofErr w:type="gramEnd"/>
      <w:r>
        <w:t xml:space="preserve"> the LIGO Project.</w:t>
      </w:r>
    </w:p>
    <w:p w14:paraId="53E580C6" w14:textId="77777777" w:rsidR="00C65AA5" w:rsidRDefault="00C65AA5">
      <w:pPr>
        <w:pStyle w:val="PlainText"/>
        <w:spacing w:before="0"/>
        <w:jc w:val="left"/>
      </w:pPr>
    </w:p>
    <w:tbl>
      <w:tblPr>
        <w:tblW w:w="0" w:type="auto"/>
        <w:tblLook w:val="0000" w:firstRow="0" w:lastRow="0" w:firstColumn="0" w:lastColumn="0" w:noHBand="0" w:noVBand="0"/>
      </w:tblPr>
      <w:tblGrid>
        <w:gridCol w:w="4903"/>
        <w:gridCol w:w="4903"/>
      </w:tblGrid>
      <w:tr w:rsidR="00C65AA5" w:rsidRPr="004A710A" w14:paraId="3B635EE8" w14:textId="77777777">
        <w:tc>
          <w:tcPr>
            <w:tcW w:w="4909" w:type="dxa"/>
          </w:tcPr>
          <w:p w14:paraId="268A0E2A" w14:textId="77777777" w:rsidR="00C65AA5" w:rsidRDefault="00C65AA5">
            <w:pPr>
              <w:pStyle w:val="PlainText"/>
              <w:spacing w:before="0"/>
              <w:jc w:val="center"/>
              <w:rPr>
                <w:b/>
                <w:bCs/>
                <w:color w:val="808080"/>
              </w:rPr>
            </w:pPr>
            <w:r>
              <w:rPr>
                <w:b/>
                <w:bCs/>
                <w:color w:val="808080"/>
              </w:rPr>
              <w:t>California Institute of Technology</w:t>
            </w:r>
          </w:p>
          <w:p w14:paraId="194E19C2" w14:textId="77777777" w:rsidR="00C65AA5" w:rsidRDefault="003C0332">
            <w:pPr>
              <w:pStyle w:val="PlainText"/>
              <w:spacing w:before="0"/>
              <w:jc w:val="center"/>
              <w:rPr>
                <w:b/>
                <w:bCs/>
                <w:color w:val="808080"/>
              </w:rPr>
            </w:pPr>
            <w:r>
              <w:rPr>
                <w:b/>
                <w:bCs/>
                <w:color w:val="808080"/>
              </w:rPr>
              <w:t>LIGO Project – MS 100-36</w:t>
            </w:r>
          </w:p>
          <w:p w14:paraId="643ED94D" w14:textId="77777777" w:rsidR="00C65AA5" w:rsidRPr="005F48B2" w:rsidRDefault="00C65AA5">
            <w:pPr>
              <w:pStyle w:val="PlainText"/>
              <w:spacing w:before="0"/>
              <w:jc w:val="center"/>
              <w:rPr>
                <w:b/>
                <w:bCs/>
                <w:color w:val="808080"/>
                <w:lang w:val="it-IT"/>
              </w:rPr>
            </w:pPr>
            <w:r w:rsidRPr="005F48B2">
              <w:rPr>
                <w:b/>
                <w:bCs/>
                <w:color w:val="808080"/>
                <w:lang w:val="it-IT"/>
              </w:rPr>
              <w:t xml:space="preserve">1200 </w:t>
            </w:r>
            <w:proofErr w:type="gramStart"/>
            <w:r w:rsidRPr="005F48B2">
              <w:rPr>
                <w:b/>
                <w:bCs/>
                <w:color w:val="808080"/>
                <w:lang w:val="it-IT"/>
              </w:rPr>
              <w:t>E.</w:t>
            </w:r>
            <w:proofErr w:type="gramEnd"/>
            <w:r w:rsidRPr="005F48B2">
              <w:rPr>
                <w:b/>
                <w:bCs/>
                <w:color w:val="808080"/>
                <w:lang w:val="it-IT"/>
              </w:rPr>
              <w:t xml:space="preserve"> California </w:t>
            </w:r>
            <w:proofErr w:type="spellStart"/>
            <w:r w:rsidRPr="005F48B2">
              <w:rPr>
                <w:b/>
                <w:bCs/>
                <w:color w:val="808080"/>
                <w:lang w:val="it-IT"/>
              </w:rPr>
              <w:t>Blvd</w:t>
            </w:r>
            <w:proofErr w:type="spellEnd"/>
            <w:r w:rsidRPr="005F48B2">
              <w:rPr>
                <w:b/>
                <w:bCs/>
                <w:color w:val="808080"/>
                <w:lang w:val="it-IT"/>
              </w:rPr>
              <w:t>.</w:t>
            </w:r>
          </w:p>
          <w:p w14:paraId="5A235728" w14:textId="77777777" w:rsidR="00C65AA5" w:rsidRPr="005F48B2" w:rsidRDefault="00C65AA5">
            <w:pPr>
              <w:pStyle w:val="PlainText"/>
              <w:spacing w:before="0"/>
              <w:jc w:val="center"/>
              <w:rPr>
                <w:b/>
                <w:bCs/>
                <w:color w:val="808080"/>
                <w:lang w:val="it-IT"/>
              </w:rPr>
            </w:pPr>
            <w:r w:rsidRPr="005F48B2">
              <w:rPr>
                <w:b/>
                <w:bCs/>
                <w:color w:val="808080"/>
                <w:lang w:val="it-IT"/>
              </w:rPr>
              <w:t>Pasadena, CA 91125</w:t>
            </w:r>
          </w:p>
          <w:p w14:paraId="18D380DC" w14:textId="77777777" w:rsidR="00C65AA5" w:rsidRPr="005F48B2" w:rsidRDefault="00C65AA5">
            <w:pPr>
              <w:pStyle w:val="PlainText"/>
              <w:spacing w:before="0"/>
              <w:jc w:val="center"/>
              <w:rPr>
                <w:color w:val="808080"/>
                <w:lang w:val="it-IT"/>
              </w:rPr>
            </w:pPr>
            <w:r w:rsidRPr="005F48B2">
              <w:rPr>
                <w:color w:val="808080"/>
                <w:lang w:val="it-IT"/>
              </w:rPr>
              <w:t>Phone (626) 395-2129</w:t>
            </w:r>
          </w:p>
          <w:p w14:paraId="05033DE9" w14:textId="77777777" w:rsidR="00C65AA5" w:rsidRPr="005F48B2" w:rsidRDefault="00C65AA5">
            <w:pPr>
              <w:pStyle w:val="PlainText"/>
              <w:spacing w:before="0"/>
              <w:jc w:val="center"/>
              <w:rPr>
                <w:color w:val="808080"/>
                <w:lang w:val="it-IT"/>
              </w:rPr>
            </w:pPr>
            <w:r w:rsidRPr="005F48B2">
              <w:rPr>
                <w:color w:val="808080"/>
                <w:lang w:val="it-IT"/>
              </w:rPr>
              <w:t>Fax (626) 304-9834</w:t>
            </w:r>
          </w:p>
          <w:p w14:paraId="686AB9C8" w14:textId="77777777" w:rsidR="00C65AA5" w:rsidRPr="005F48B2" w:rsidRDefault="00C65AA5">
            <w:pPr>
              <w:pStyle w:val="PlainText"/>
              <w:spacing w:before="0"/>
              <w:jc w:val="center"/>
              <w:rPr>
                <w:color w:val="808080"/>
                <w:lang w:val="it-IT"/>
              </w:rPr>
            </w:pPr>
            <w:r w:rsidRPr="005F48B2">
              <w:rPr>
                <w:color w:val="808080"/>
                <w:lang w:val="it-IT"/>
              </w:rPr>
              <w:t>E-mail: info@ligo.caltech.edu</w:t>
            </w:r>
          </w:p>
        </w:tc>
        <w:tc>
          <w:tcPr>
            <w:tcW w:w="4909" w:type="dxa"/>
          </w:tcPr>
          <w:p w14:paraId="616618F4" w14:textId="77777777" w:rsidR="00C65AA5" w:rsidRDefault="00C65AA5">
            <w:pPr>
              <w:pStyle w:val="PlainText"/>
              <w:spacing w:before="0"/>
              <w:jc w:val="center"/>
              <w:rPr>
                <w:b/>
                <w:bCs/>
                <w:color w:val="808080"/>
              </w:rPr>
            </w:pPr>
            <w:r>
              <w:rPr>
                <w:b/>
                <w:bCs/>
                <w:color w:val="808080"/>
              </w:rPr>
              <w:t>Massachusetts Institute of Technology</w:t>
            </w:r>
          </w:p>
          <w:p w14:paraId="24D826AD" w14:textId="77777777" w:rsidR="003C0332" w:rsidRDefault="003C0332" w:rsidP="003C0332">
            <w:pPr>
              <w:pStyle w:val="PlainText"/>
              <w:spacing w:before="0"/>
              <w:jc w:val="center"/>
              <w:rPr>
                <w:b/>
                <w:bCs/>
                <w:color w:val="808080"/>
              </w:rPr>
            </w:pPr>
            <w:r>
              <w:rPr>
                <w:b/>
                <w:bCs/>
                <w:color w:val="808080"/>
              </w:rPr>
              <w:t>LIGO Project – NW22-295</w:t>
            </w:r>
          </w:p>
          <w:p w14:paraId="1350931E" w14:textId="77777777" w:rsidR="003C0332" w:rsidRDefault="003C0332" w:rsidP="003C0332">
            <w:pPr>
              <w:pStyle w:val="PlainText"/>
              <w:spacing w:before="0"/>
              <w:jc w:val="center"/>
              <w:rPr>
                <w:b/>
                <w:bCs/>
                <w:color w:val="808080"/>
              </w:rPr>
            </w:pPr>
            <w:r>
              <w:rPr>
                <w:b/>
                <w:bCs/>
                <w:color w:val="808080"/>
              </w:rPr>
              <w:t>185 Albany St</w:t>
            </w:r>
          </w:p>
          <w:p w14:paraId="15289854" w14:textId="77777777" w:rsidR="00C65AA5" w:rsidRDefault="00C65AA5">
            <w:pPr>
              <w:pStyle w:val="PlainText"/>
              <w:spacing w:before="0"/>
              <w:jc w:val="center"/>
              <w:rPr>
                <w:b/>
                <w:bCs/>
                <w:color w:val="808080"/>
              </w:rPr>
            </w:pPr>
            <w:r>
              <w:rPr>
                <w:b/>
                <w:bCs/>
                <w:color w:val="808080"/>
              </w:rPr>
              <w:t>Cambridge, MA 02139</w:t>
            </w:r>
          </w:p>
          <w:p w14:paraId="51688B5B" w14:textId="77777777" w:rsidR="00C65AA5" w:rsidRDefault="00C65AA5">
            <w:pPr>
              <w:pStyle w:val="PlainText"/>
              <w:spacing w:before="0"/>
              <w:jc w:val="center"/>
              <w:rPr>
                <w:color w:val="808080"/>
              </w:rPr>
            </w:pPr>
            <w:r>
              <w:rPr>
                <w:color w:val="808080"/>
              </w:rPr>
              <w:t>Phone (617) 253-4824</w:t>
            </w:r>
          </w:p>
          <w:p w14:paraId="32B70EC8" w14:textId="77777777" w:rsidR="00C65AA5" w:rsidRPr="004A710A" w:rsidRDefault="00C65AA5">
            <w:pPr>
              <w:pStyle w:val="PlainText"/>
              <w:spacing w:before="0"/>
              <w:jc w:val="center"/>
              <w:rPr>
                <w:color w:val="808080"/>
                <w:lang w:val="de-DE"/>
              </w:rPr>
            </w:pPr>
            <w:r w:rsidRPr="004A710A">
              <w:rPr>
                <w:color w:val="808080"/>
                <w:lang w:val="de-DE"/>
              </w:rPr>
              <w:t>Fax (617) 253-7014</w:t>
            </w:r>
          </w:p>
          <w:p w14:paraId="33BED7A3" w14:textId="77777777" w:rsidR="00C65AA5" w:rsidRPr="004A710A" w:rsidRDefault="00C65AA5">
            <w:pPr>
              <w:pStyle w:val="PlainText"/>
              <w:spacing w:before="0"/>
              <w:jc w:val="center"/>
              <w:rPr>
                <w:color w:val="808080"/>
                <w:lang w:val="de-DE"/>
              </w:rPr>
            </w:pPr>
            <w:proofErr w:type="spellStart"/>
            <w:r w:rsidRPr="004A710A">
              <w:rPr>
                <w:color w:val="808080"/>
                <w:lang w:val="de-DE"/>
              </w:rPr>
              <w:t>E-mail</w:t>
            </w:r>
            <w:proofErr w:type="spellEnd"/>
            <w:r w:rsidRPr="004A710A">
              <w:rPr>
                <w:color w:val="808080"/>
                <w:lang w:val="de-DE"/>
              </w:rPr>
              <w:t>: info@ligo.mit.edu</w:t>
            </w:r>
          </w:p>
        </w:tc>
      </w:tr>
      <w:tr w:rsidR="00C65AA5" w14:paraId="0FDB9507" w14:textId="77777777">
        <w:tc>
          <w:tcPr>
            <w:tcW w:w="4909" w:type="dxa"/>
          </w:tcPr>
          <w:p w14:paraId="6E3CCA30" w14:textId="77777777" w:rsidR="00C65AA5" w:rsidRPr="004A710A" w:rsidRDefault="00C65AA5">
            <w:pPr>
              <w:pStyle w:val="PlainText"/>
              <w:spacing w:before="0"/>
              <w:jc w:val="center"/>
              <w:rPr>
                <w:b/>
                <w:bCs/>
                <w:color w:val="808080"/>
                <w:lang w:val="de-DE"/>
              </w:rPr>
            </w:pPr>
          </w:p>
          <w:p w14:paraId="2D258076" w14:textId="77777777" w:rsidR="00C65AA5" w:rsidRDefault="00C65AA5">
            <w:pPr>
              <w:pStyle w:val="PlainText"/>
              <w:spacing w:before="0"/>
              <w:jc w:val="center"/>
              <w:rPr>
                <w:b/>
                <w:bCs/>
                <w:color w:val="808080"/>
              </w:rPr>
            </w:pPr>
            <w:r>
              <w:rPr>
                <w:b/>
                <w:bCs/>
                <w:color w:val="808080"/>
              </w:rPr>
              <w:t>LIGO Hanford Observatory</w:t>
            </w:r>
          </w:p>
          <w:p w14:paraId="12BDED6F" w14:textId="77777777" w:rsidR="00C65AA5" w:rsidRDefault="00C65AA5">
            <w:pPr>
              <w:pStyle w:val="PlainText"/>
              <w:spacing w:before="0"/>
              <w:jc w:val="center"/>
              <w:rPr>
                <w:b/>
                <w:bCs/>
                <w:color w:val="808080"/>
              </w:rPr>
            </w:pPr>
            <w:r>
              <w:rPr>
                <w:b/>
                <w:bCs/>
                <w:color w:val="808080"/>
              </w:rPr>
              <w:t>P.O. Box 1970</w:t>
            </w:r>
          </w:p>
          <w:p w14:paraId="1B4A8881" w14:textId="77777777" w:rsidR="00C65AA5" w:rsidRDefault="00C65AA5">
            <w:pPr>
              <w:pStyle w:val="PlainText"/>
              <w:spacing w:before="0"/>
              <w:jc w:val="center"/>
              <w:rPr>
                <w:b/>
                <w:bCs/>
                <w:color w:val="808080"/>
              </w:rPr>
            </w:pPr>
            <w:r>
              <w:rPr>
                <w:b/>
                <w:bCs/>
                <w:color w:val="808080"/>
              </w:rPr>
              <w:t>Mail Stop S9-02</w:t>
            </w:r>
          </w:p>
          <w:p w14:paraId="156373CA" w14:textId="77777777" w:rsidR="00C65AA5" w:rsidRDefault="00C65AA5">
            <w:pPr>
              <w:pStyle w:val="PlainText"/>
              <w:spacing w:before="0"/>
              <w:jc w:val="center"/>
              <w:rPr>
                <w:b/>
                <w:bCs/>
                <w:color w:val="808080"/>
              </w:rPr>
            </w:pPr>
            <w:r>
              <w:rPr>
                <w:b/>
                <w:bCs/>
                <w:color w:val="808080"/>
              </w:rPr>
              <w:t>Richland WA 99352</w:t>
            </w:r>
          </w:p>
          <w:p w14:paraId="235DC555" w14:textId="77777777" w:rsidR="00C65AA5" w:rsidRDefault="00C65AA5">
            <w:pPr>
              <w:pStyle w:val="PlainText"/>
              <w:spacing w:before="0"/>
              <w:jc w:val="center"/>
              <w:rPr>
                <w:color w:val="808080"/>
              </w:rPr>
            </w:pPr>
            <w:r>
              <w:rPr>
                <w:color w:val="808080"/>
              </w:rPr>
              <w:t>Phone 509-372-8106</w:t>
            </w:r>
          </w:p>
          <w:p w14:paraId="5F680327" w14:textId="77777777" w:rsidR="00C65AA5" w:rsidRDefault="00C65AA5">
            <w:pPr>
              <w:pStyle w:val="PlainText"/>
              <w:spacing w:before="0"/>
              <w:jc w:val="center"/>
              <w:rPr>
                <w:b/>
                <w:bCs/>
                <w:color w:val="808080"/>
              </w:rPr>
            </w:pPr>
            <w:r>
              <w:rPr>
                <w:color w:val="808080"/>
              </w:rPr>
              <w:t>Fax 509-372-8137</w:t>
            </w:r>
          </w:p>
        </w:tc>
        <w:tc>
          <w:tcPr>
            <w:tcW w:w="4909" w:type="dxa"/>
          </w:tcPr>
          <w:p w14:paraId="344DCEA1" w14:textId="77777777" w:rsidR="00C65AA5" w:rsidRDefault="00C65AA5">
            <w:pPr>
              <w:pStyle w:val="PlainText"/>
              <w:spacing w:before="0"/>
              <w:jc w:val="center"/>
              <w:rPr>
                <w:b/>
                <w:bCs/>
                <w:color w:val="808080"/>
              </w:rPr>
            </w:pPr>
          </w:p>
          <w:p w14:paraId="27FCB9B3" w14:textId="77777777" w:rsidR="00C65AA5" w:rsidRDefault="00C65AA5">
            <w:pPr>
              <w:pStyle w:val="PlainText"/>
              <w:spacing w:before="0"/>
              <w:jc w:val="center"/>
              <w:rPr>
                <w:b/>
                <w:bCs/>
                <w:color w:val="808080"/>
              </w:rPr>
            </w:pPr>
            <w:r>
              <w:rPr>
                <w:b/>
                <w:bCs/>
                <w:color w:val="808080"/>
              </w:rPr>
              <w:t>LIGO Livingston Observatory</w:t>
            </w:r>
          </w:p>
          <w:p w14:paraId="256CDF3F" w14:textId="77777777" w:rsidR="00C65AA5" w:rsidRDefault="00C65AA5">
            <w:pPr>
              <w:pStyle w:val="PlainText"/>
              <w:spacing w:before="0"/>
              <w:jc w:val="center"/>
              <w:rPr>
                <w:b/>
                <w:bCs/>
                <w:color w:val="808080"/>
              </w:rPr>
            </w:pPr>
            <w:r>
              <w:rPr>
                <w:b/>
                <w:bCs/>
                <w:color w:val="808080"/>
              </w:rPr>
              <w:t>P.O. Box 940</w:t>
            </w:r>
          </w:p>
          <w:p w14:paraId="5CBD37D8" w14:textId="77777777" w:rsidR="00C65AA5" w:rsidRDefault="00C65AA5">
            <w:pPr>
              <w:pStyle w:val="PlainText"/>
              <w:spacing w:before="0"/>
              <w:jc w:val="center"/>
              <w:rPr>
                <w:b/>
                <w:bCs/>
                <w:color w:val="808080"/>
              </w:rPr>
            </w:pPr>
            <w:r>
              <w:rPr>
                <w:b/>
                <w:bCs/>
                <w:color w:val="808080"/>
              </w:rPr>
              <w:t>Livingston, LA  70754</w:t>
            </w:r>
          </w:p>
          <w:p w14:paraId="62145001" w14:textId="77777777" w:rsidR="00C65AA5" w:rsidRDefault="00C65AA5">
            <w:pPr>
              <w:pStyle w:val="PlainText"/>
              <w:spacing w:before="0"/>
              <w:jc w:val="center"/>
              <w:rPr>
                <w:color w:val="808080"/>
              </w:rPr>
            </w:pPr>
            <w:r>
              <w:rPr>
                <w:color w:val="808080"/>
              </w:rPr>
              <w:t>Phone 225-686-3100</w:t>
            </w:r>
          </w:p>
          <w:p w14:paraId="404E1DD7" w14:textId="77777777" w:rsidR="00C65AA5" w:rsidRDefault="00C65AA5">
            <w:pPr>
              <w:pStyle w:val="PlainText"/>
              <w:spacing w:before="0"/>
              <w:jc w:val="center"/>
              <w:rPr>
                <w:b/>
                <w:bCs/>
                <w:color w:val="808080"/>
              </w:rPr>
            </w:pPr>
            <w:r>
              <w:rPr>
                <w:color w:val="808080"/>
              </w:rPr>
              <w:t>Fax 225-686-7189</w:t>
            </w:r>
          </w:p>
        </w:tc>
      </w:tr>
    </w:tbl>
    <w:p w14:paraId="75F0F1CD" w14:textId="77777777" w:rsidR="00C65AA5" w:rsidRDefault="00C65AA5">
      <w:pPr>
        <w:pStyle w:val="PlainText"/>
        <w:jc w:val="center"/>
      </w:pPr>
      <w:r>
        <w:t>http://www.ligo.caltech.edu/</w:t>
      </w:r>
    </w:p>
    <w:p w14:paraId="37793185" w14:textId="77777777" w:rsidR="0066485E" w:rsidRDefault="00C65AA5" w:rsidP="004B5953">
      <w:pPr>
        <w:pStyle w:val="Heading1"/>
      </w:pPr>
      <w:r>
        <w:br w:type="page"/>
      </w:r>
      <w:bookmarkStart w:id="4" w:name="OLE_LINK1"/>
      <w:bookmarkStart w:id="5" w:name="OLE_LINK2"/>
      <w:bookmarkStart w:id="6" w:name="OLE_LINK12"/>
      <w:bookmarkStart w:id="7" w:name="OLE_LINK13"/>
      <w:r>
        <w:lastRenderedPageBreak/>
        <w:t>Introduction</w:t>
      </w:r>
    </w:p>
    <w:bookmarkEnd w:id="4"/>
    <w:bookmarkEnd w:id="5"/>
    <w:p w14:paraId="09B2EB3B" w14:textId="77777777" w:rsidR="00434826" w:rsidRDefault="00434826" w:rsidP="007A6706">
      <w:r>
        <w:t xml:space="preserve">Round trip loss and higher order mode as a function of beam size based on </w:t>
      </w:r>
      <w:proofErr w:type="spellStart"/>
      <w:r>
        <w:t>aLIGO</w:t>
      </w:r>
      <w:proofErr w:type="spellEnd"/>
      <w:r>
        <w:t xml:space="preserve"> polished surface data and the best available coating.</w:t>
      </w:r>
    </w:p>
    <w:p w14:paraId="1829ECBE" w14:textId="5CCF68AB" w:rsidR="00434826" w:rsidRDefault="008D0440" w:rsidP="004B5953">
      <w:pPr>
        <w:pStyle w:val="Heading1"/>
      </w:pPr>
      <w:bookmarkStart w:id="8" w:name="OLE_LINK3"/>
      <w:bookmarkStart w:id="9" w:name="OLE_LINK4"/>
      <w:r>
        <w:t xml:space="preserve"> </w:t>
      </w:r>
      <w:r w:rsidR="00434826">
        <w:t>Cavity</w:t>
      </w:r>
    </w:p>
    <w:bookmarkEnd w:id="8"/>
    <w:bookmarkEnd w:id="9"/>
    <w:p w14:paraId="699875DB" w14:textId="346C31F6" w:rsidR="008D0440" w:rsidRDefault="00434826" w:rsidP="007A6706">
      <w:r>
        <w:t>Symmetric cavity with 4km arm, 34cm mirror size if not otherwise mentioned.</w:t>
      </w:r>
    </w:p>
    <w:p w14:paraId="5536B2F2" w14:textId="120D1969" w:rsidR="00434826" w:rsidRDefault="00434826" w:rsidP="004B5953">
      <w:pPr>
        <w:pStyle w:val="Heading1"/>
      </w:pPr>
      <w:r>
        <w:t>Best coating</w:t>
      </w:r>
    </w:p>
    <w:p w14:paraId="3F148A5E" w14:textId="5C86419D" w:rsidR="00434826" w:rsidRDefault="00434826" w:rsidP="00434826">
      <w:r>
        <w:t>CSIRO coated a folding mirror 06, which showed the best coating profile so far from the uniformity point of view.</w:t>
      </w:r>
    </w:p>
    <w:p w14:paraId="08A9CC3F" w14:textId="77777777" w:rsidR="00434826" w:rsidRDefault="00434826" w:rsidP="00434826">
      <w:pPr>
        <w:keepNext/>
      </w:pPr>
      <w:r>
        <w:rPr>
          <w:noProof/>
          <w:lang w:eastAsia="ja-JP"/>
        </w:rPr>
        <w:drawing>
          <wp:inline distT="0" distB="0" distL="0" distR="0" wp14:anchorId="1B2EA93F" wp14:editId="1F526A86">
            <wp:extent cx="6089650" cy="4705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ingEffect_CSIRO.pdf"/>
                    <pic:cNvPicPr/>
                  </pic:nvPicPr>
                  <pic:blipFill>
                    <a:blip r:embed="rId9">
                      <a:extLst>
                        <a:ext uri="{28A0092B-C50C-407E-A947-70E740481C1C}">
                          <a14:useLocalDpi xmlns:a14="http://schemas.microsoft.com/office/drawing/2010/main" val="0"/>
                        </a:ext>
                      </a:extLst>
                    </a:blip>
                    <a:stretch>
                      <a:fillRect/>
                    </a:stretch>
                  </pic:blipFill>
                  <pic:spPr>
                    <a:xfrm>
                      <a:off x="0" y="0"/>
                      <a:ext cx="6089650" cy="4705350"/>
                    </a:xfrm>
                    <a:prstGeom prst="rect">
                      <a:avLst/>
                    </a:prstGeom>
                  </pic:spPr>
                </pic:pic>
              </a:graphicData>
            </a:graphic>
          </wp:inline>
        </w:drawing>
      </w:r>
    </w:p>
    <w:p w14:paraId="2A5D68B2" w14:textId="1D35C731" w:rsidR="00434826" w:rsidRDefault="00434826" w:rsidP="00434826">
      <w:pPr>
        <w:pStyle w:val="Caption"/>
        <w:jc w:val="center"/>
      </w:pPr>
      <w:r>
        <w:t xml:space="preserve">Figure </w:t>
      </w:r>
      <w:fldSimple w:instr=" SEQ Figure \* ARABIC ">
        <w:r w:rsidR="00444CD7">
          <w:rPr>
            <w:noProof/>
          </w:rPr>
          <w:t>1</w:t>
        </w:r>
      </w:fldSimple>
      <w:r>
        <w:t xml:space="preserve"> CSIRO coating on FM06</w:t>
      </w:r>
    </w:p>
    <w:p w14:paraId="33276065" w14:textId="41E3D506" w:rsidR="00434826" w:rsidRDefault="00434826" w:rsidP="00434826">
      <w:r>
        <w:t xml:space="preserve">The coating uniformity is very good in 20cm aperture, but the thickness varies a lot </w:t>
      </w:r>
      <w:r w:rsidR="00545DDE">
        <w:t>outside of this uniform region. A similar behavior is observed in the coatings by LMA.</w:t>
      </w:r>
    </w:p>
    <w:p w14:paraId="68BB6109" w14:textId="77777777" w:rsidR="00B70246" w:rsidRDefault="00B70246" w:rsidP="00B70246">
      <w:pPr>
        <w:keepNext/>
      </w:pPr>
      <w:r>
        <w:rPr>
          <w:noProof/>
          <w:lang w:eastAsia="ja-JP"/>
        </w:rPr>
        <w:drawing>
          <wp:inline distT="0" distB="0" distL="0" distR="0" wp14:anchorId="57B122CB" wp14:editId="63DF93D1">
            <wp:extent cx="6089650" cy="4705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ssVsW_NullPolishCoated.pdf"/>
                    <pic:cNvPicPr/>
                  </pic:nvPicPr>
                  <pic:blipFill>
                    <a:blip r:embed="rId10">
                      <a:extLst>
                        <a:ext uri="{28A0092B-C50C-407E-A947-70E740481C1C}">
                          <a14:useLocalDpi xmlns:a14="http://schemas.microsoft.com/office/drawing/2010/main" val="0"/>
                        </a:ext>
                      </a:extLst>
                    </a:blip>
                    <a:stretch>
                      <a:fillRect/>
                    </a:stretch>
                  </pic:blipFill>
                  <pic:spPr>
                    <a:xfrm>
                      <a:off x="0" y="0"/>
                      <a:ext cx="6089650" cy="4705350"/>
                    </a:xfrm>
                    <a:prstGeom prst="rect">
                      <a:avLst/>
                    </a:prstGeom>
                  </pic:spPr>
                </pic:pic>
              </a:graphicData>
            </a:graphic>
          </wp:inline>
        </w:drawing>
      </w:r>
    </w:p>
    <w:p w14:paraId="4A880BC7" w14:textId="1B20E185" w:rsidR="00B70246" w:rsidRDefault="00B70246" w:rsidP="00B70246">
      <w:pPr>
        <w:pStyle w:val="Caption"/>
        <w:jc w:val="center"/>
      </w:pPr>
      <w:r>
        <w:t xml:space="preserve">Figure </w:t>
      </w:r>
      <w:fldSimple w:instr=" SEQ Figure \* ARABIC ">
        <w:r w:rsidR="00444CD7">
          <w:rPr>
            <w:noProof/>
          </w:rPr>
          <w:t>2</w:t>
        </w:r>
      </w:fldSimple>
      <w:r>
        <w:t xml:space="preserve"> Round trip </w:t>
      </w:r>
      <w:proofErr w:type="gramStart"/>
      <w:r>
        <w:t>loss :</w:t>
      </w:r>
      <w:proofErr w:type="gramEnd"/>
      <w:r>
        <w:t xml:space="preserve"> No aberration </w:t>
      </w:r>
      <w:proofErr w:type="spellStart"/>
      <w:r>
        <w:t>vs</w:t>
      </w:r>
      <w:proofErr w:type="spellEnd"/>
      <w:r>
        <w:t xml:space="preserve"> polished </w:t>
      </w:r>
      <w:proofErr w:type="spellStart"/>
      <w:r>
        <w:t>vs</w:t>
      </w:r>
      <w:proofErr w:type="spellEnd"/>
      <w:r>
        <w:t xml:space="preserve"> coated</w:t>
      </w:r>
    </w:p>
    <w:p w14:paraId="57786A7B" w14:textId="24586228" w:rsidR="00B70246" w:rsidRDefault="00B70246" w:rsidP="00B70246">
      <w:r>
        <w:t>This compares the loss in a cavity without aberration, with polishing and with coating.</w:t>
      </w:r>
      <w:r w:rsidR="00D67BBA">
        <w:t xml:space="preserve"> The comparison of black and red lines show that the polished surface aberration is important for a small beam size, i.e., the physical boundary is not important, but is no more an important factor for larger beam size, whose loss is dominantly determined by the physical boundary.</w:t>
      </w:r>
    </w:p>
    <w:p w14:paraId="444BA07B" w14:textId="256E8C38" w:rsidR="00D67BBA" w:rsidRPr="00B70246" w:rsidRDefault="00D67BBA" w:rsidP="00B70246">
      <w:r>
        <w:t xml:space="preserve">The </w:t>
      </w:r>
      <w:r w:rsidR="00E77715">
        <w:t>comparison</w:t>
      </w:r>
      <w:r>
        <w:t xml:space="preserve"> of red and blue </w:t>
      </w:r>
      <w:r w:rsidR="00E77715">
        <w:t xml:space="preserve">lines </w:t>
      </w:r>
      <w:r>
        <w:t>show</w:t>
      </w:r>
      <w:r w:rsidR="00E77715">
        <w:t>s</w:t>
      </w:r>
      <w:r>
        <w:t xml:space="preserve"> that the coating aberration at the boundary affects the loss even for a larger beam size case.</w:t>
      </w:r>
    </w:p>
    <w:p w14:paraId="55186FD9" w14:textId="77777777" w:rsidR="00545DDE" w:rsidRDefault="00545DDE" w:rsidP="00545DDE">
      <w:pPr>
        <w:keepNext/>
      </w:pPr>
      <w:r>
        <w:rPr>
          <w:noProof/>
          <w:lang w:eastAsia="ja-JP"/>
        </w:rPr>
        <w:drawing>
          <wp:inline distT="0" distB="0" distL="0" distR="0" wp14:anchorId="6C1346BC" wp14:editId="61A9FD7F">
            <wp:extent cx="6089650" cy="4705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06_PolishedVSCoated.pdf"/>
                    <pic:cNvPicPr/>
                  </pic:nvPicPr>
                  <pic:blipFill>
                    <a:blip r:embed="rId11">
                      <a:extLst>
                        <a:ext uri="{28A0092B-C50C-407E-A947-70E740481C1C}">
                          <a14:useLocalDpi xmlns:a14="http://schemas.microsoft.com/office/drawing/2010/main" val="0"/>
                        </a:ext>
                      </a:extLst>
                    </a:blip>
                    <a:stretch>
                      <a:fillRect/>
                    </a:stretch>
                  </pic:blipFill>
                  <pic:spPr>
                    <a:xfrm>
                      <a:off x="0" y="0"/>
                      <a:ext cx="6089650" cy="4705350"/>
                    </a:xfrm>
                    <a:prstGeom prst="rect">
                      <a:avLst/>
                    </a:prstGeom>
                  </pic:spPr>
                </pic:pic>
              </a:graphicData>
            </a:graphic>
          </wp:inline>
        </w:drawing>
      </w:r>
    </w:p>
    <w:p w14:paraId="4ADAAB20" w14:textId="2A9A140A" w:rsidR="00545DDE" w:rsidRDefault="00545DDE" w:rsidP="00545DDE">
      <w:pPr>
        <w:pStyle w:val="Caption"/>
        <w:jc w:val="center"/>
      </w:pPr>
      <w:r>
        <w:t xml:space="preserve">Figure </w:t>
      </w:r>
      <w:fldSimple w:instr=" SEQ Figure \* ARABIC ">
        <w:r w:rsidR="00444CD7">
          <w:rPr>
            <w:noProof/>
          </w:rPr>
          <w:t>3</w:t>
        </w:r>
      </w:fldSimple>
      <w:r>
        <w:t xml:space="preserve"> Loss and HOM in a cavity with FM06 mirrors</w:t>
      </w:r>
    </w:p>
    <w:p w14:paraId="7FBA2C7B" w14:textId="77777777" w:rsidR="00545DDE" w:rsidRDefault="00545DDE" w:rsidP="00545DDE">
      <w:r>
        <w:t xml:space="preserve">The FM06 mirror </w:t>
      </w:r>
      <w:proofErr w:type="spellStart"/>
      <w:r>
        <w:t>phasemaps</w:t>
      </w:r>
      <w:proofErr w:type="spellEnd"/>
      <w:r>
        <w:t xml:space="preserve"> without and with coating are used for ITM and ETM can </w:t>
      </w:r>
      <w:proofErr w:type="gramStart"/>
      <w:r>
        <w:t>calculated</w:t>
      </w:r>
      <w:proofErr w:type="gramEnd"/>
      <w:r>
        <w:t xml:space="preserve"> the round trip loss and HOM fraction. The round trip loss with coating degrades by 30-40% relative to the loss without coating for a cavity with beam size larger than 6.5cm. </w:t>
      </w:r>
    </w:p>
    <w:p w14:paraId="73FF8A23" w14:textId="24495A1B" w:rsidR="00545DDE" w:rsidRDefault="00545DDE" w:rsidP="00545DDE">
      <w:r>
        <w:t>HOM fraction is ~100ppm, and this will be able to be negligible compared to the deformation by the ITM transmission maps.</w:t>
      </w:r>
    </w:p>
    <w:p w14:paraId="6491A93D" w14:textId="5D05E6E7" w:rsidR="004B5953" w:rsidRDefault="004B5953" w:rsidP="00545DDE">
      <w:r>
        <w:t>The structure for small beam size (5cm ~ 6cm) are due resonances of higher order modes.</w:t>
      </w:r>
    </w:p>
    <w:p w14:paraId="35530EF0" w14:textId="40E5C654" w:rsidR="00545DDE" w:rsidRDefault="00545DDE" w:rsidP="004B5953">
      <w:pPr>
        <w:pStyle w:val="Heading1"/>
      </w:pPr>
      <w:bookmarkStart w:id="10" w:name="OLE_LINK5"/>
      <w:bookmarkStart w:id="11" w:name="OLE_LINK6"/>
      <w:proofErr w:type="spellStart"/>
      <w:proofErr w:type="gramStart"/>
      <w:r>
        <w:t>aLIGO</w:t>
      </w:r>
      <w:proofErr w:type="spellEnd"/>
      <w:proofErr w:type="gramEnd"/>
      <w:r>
        <w:t xml:space="preserve"> polished mirror qualities</w:t>
      </w:r>
    </w:p>
    <w:bookmarkEnd w:id="10"/>
    <w:bookmarkEnd w:id="11"/>
    <w:p w14:paraId="7C256467" w14:textId="77777777" w:rsidR="00545DDE" w:rsidRDefault="00545DDE" w:rsidP="00545DDE">
      <w:pPr>
        <w:keepNext/>
        <w:jc w:val="center"/>
      </w:pPr>
      <w:r>
        <w:rPr>
          <w:noProof/>
          <w:lang w:eastAsia="ja-JP"/>
        </w:rPr>
        <w:drawing>
          <wp:inline distT="0" distB="0" distL="0" distR="0" wp14:anchorId="35D95E1F" wp14:editId="43993748">
            <wp:extent cx="5181600" cy="69723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MvsETMPSDs.pdf"/>
                    <pic:cNvPicPr/>
                  </pic:nvPicPr>
                  <pic:blipFill rotWithShape="1">
                    <a:blip r:embed="rId12">
                      <a:extLst>
                        <a:ext uri="{28A0092B-C50C-407E-A947-70E740481C1C}">
                          <a14:useLocalDpi xmlns:a14="http://schemas.microsoft.com/office/drawing/2010/main" val="0"/>
                        </a:ext>
                      </a:extLst>
                    </a:blip>
                    <a:srcRect l="6360" t="5398" r="8551" b="6132"/>
                    <a:stretch/>
                  </pic:blipFill>
                  <pic:spPr bwMode="auto">
                    <a:xfrm>
                      <a:off x="0" y="0"/>
                      <a:ext cx="5181600" cy="6972300"/>
                    </a:xfrm>
                    <a:prstGeom prst="rect">
                      <a:avLst/>
                    </a:prstGeom>
                    <a:ln>
                      <a:noFill/>
                    </a:ln>
                    <a:extLst>
                      <a:ext uri="{53640926-AAD7-44d8-BBD7-CCE9431645EC}">
                        <a14:shadowObscured xmlns:a14="http://schemas.microsoft.com/office/drawing/2010/main"/>
                      </a:ext>
                    </a:extLst>
                  </pic:spPr>
                </pic:pic>
              </a:graphicData>
            </a:graphic>
          </wp:inline>
        </w:drawing>
      </w:r>
    </w:p>
    <w:p w14:paraId="59482CA6" w14:textId="4FE0800E" w:rsidR="00545DDE" w:rsidRDefault="00545DDE" w:rsidP="00545DDE">
      <w:pPr>
        <w:pStyle w:val="Caption"/>
        <w:jc w:val="center"/>
      </w:pPr>
      <w:r>
        <w:t xml:space="preserve">Figure </w:t>
      </w:r>
      <w:fldSimple w:instr=" SEQ Figure \* ARABIC ">
        <w:r w:rsidR="00444CD7">
          <w:rPr>
            <w:noProof/>
          </w:rPr>
          <w:t>4</w:t>
        </w:r>
      </w:fldSimple>
      <w:r>
        <w:t xml:space="preserve"> PSDs of </w:t>
      </w:r>
      <w:proofErr w:type="spellStart"/>
      <w:r>
        <w:t>aLIGO</w:t>
      </w:r>
      <w:proofErr w:type="spellEnd"/>
      <w:r>
        <w:t xml:space="preserve"> mirrors (polished)</w:t>
      </w:r>
    </w:p>
    <w:p w14:paraId="729D7984" w14:textId="454BBF93" w:rsidR="00545DDE" w:rsidRPr="00545DDE" w:rsidRDefault="004B5953" w:rsidP="00545DDE">
      <w:proofErr w:type="spellStart"/>
      <w:proofErr w:type="gramStart"/>
      <w:r>
        <w:t>aLIGO</w:t>
      </w:r>
      <w:proofErr w:type="spellEnd"/>
      <w:proofErr w:type="gramEnd"/>
      <w:r>
        <w:t xml:space="preserve"> mirrors polished by </w:t>
      </w:r>
      <w:proofErr w:type="spellStart"/>
      <w:r>
        <w:t>Zygo</w:t>
      </w:r>
      <w:proofErr w:type="spellEnd"/>
      <w:r>
        <w:t>. 8 ITMs and 10 ETMs after subtracting tilt and power. Both are of same quality</w:t>
      </w:r>
      <w:r w:rsidR="00086B65">
        <w:t xml:space="preserve"> after removing curvatures</w:t>
      </w:r>
      <w:r>
        <w:t>. The following analysis used cavities formed by paring two of these maps.</w:t>
      </w:r>
    </w:p>
    <w:p w14:paraId="6A8CBE44" w14:textId="77777777" w:rsidR="00434826" w:rsidRDefault="00434826" w:rsidP="007A6706"/>
    <w:bookmarkEnd w:id="6"/>
    <w:bookmarkEnd w:id="7"/>
    <w:p w14:paraId="1D915720" w14:textId="3FE6D05B" w:rsidR="004B5953" w:rsidRDefault="004B5953" w:rsidP="004B5953">
      <w:pPr>
        <w:pStyle w:val="Heading1"/>
      </w:pPr>
      <w:r>
        <w:t xml:space="preserve">Loss in a cavity </w:t>
      </w:r>
      <w:proofErr w:type="spellStart"/>
      <w:r>
        <w:t>vs</w:t>
      </w:r>
      <w:proofErr w:type="spellEnd"/>
      <w:r>
        <w:t xml:space="preserve"> beam size</w:t>
      </w:r>
    </w:p>
    <w:p w14:paraId="29B28844" w14:textId="77777777" w:rsidR="004B5953" w:rsidRDefault="004B5953" w:rsidP="004B5953">
      <w:pPr>
        <w:keepNext/>
      </w:pPr>
      <w:r>
        <w:rPr>
          <w:noProof/>
          <w:lang w:eastAsia="ja-JP"/>
        </w:rPr>
        <w:drawing>
          <wp:inline distT="0" distB="0" distL="0" distR="0" wp14:anchorId="148C2307" wp14:editId="2CE6BDF3">
            <wp:extent cx="6089650" cy="4705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mSizeVsLossHOM.pdf"/>
                    <pic:cNvPicPr/>
                  </pic:nvPicPr>
                  <pic:blipFill>
                    <a:blip r:embed="rId13">
                      <a:extLst>
                        <a:ext uri="{28A0092B-C50C-407E-A947-70E740481C1C}">
                          <a14:useLocalDpi xmlns:a14="http://schemas.microsoft.com/office/drawing/2010/main" val="0"/>
                        </a:ext>
                      </a:extLst>
                    </a:blip>
                    <a:stretch>
                      <a:fillRect/>
                    </a:stretch>
                  </pic:blipFill>
                  <pic:spPr>
                    <a:xfrm>
                      <a:off x="0" y="0"/>
                      <a:ext cx="6089650" cy="4705350"/>
                    </a:xfrm>
                    <a:prstGeom prst="rect">
                      <a:avLst/>
                    </a:prstGeom>
                  </pic:spPr>
                </pic:pic>
              </a:graphicData>
            </a:graphic>
          </wp:inline>
        </w:drawing>
      </w:r>
    </w:p>
    <w:p w14:paraId="69F039D0" w14:textId="4A9C07B1" w:rsidR="004B5953" w:rsidRDefault="004B5953" w:rsidP="004B5953">
      <w:pPr>
        <w:pStyle w:val="Caption"/>
        <w:jc w:val="center"/>
      </w:pPr>
      <w:r>
        <w:t xml:space="preserve">Figure </w:t>
      </w:r>
      <w:fldSimple w:instr=" SEQ Figure \* ARABIC ">
        <w:r w:rsidR="00444CD7">
          <w:rPr>
            <w:noProof/>
          </w:rPr>
          <w:t>5</w:t>
        </w:r>
      </w:fldSimple>
      <w:r>
        <w:t xml:space="preserve"> Round trip loss and HOM with </w:t>
      </w:r>
      <w:proofErr w:type="spellStart"/>
      <w:r>
        <w:t>aLIGO</w:t>
      </w:r>
      <w:proofErr w:type="spellEnd"/>
      <w:r>
        <w:t xml:space="preserve"> polished mirror maps</w:t>
      </w:r>
    </w:p>
    <w:p w14:paraId="060133E9" w14:textId="48E7EB17" w:rsidR="00086B65" w:rsidRDefault="00086B65" w:rsidP="004B5953">
      <w:r>
        <w:t xml:space="preserve">By using multiple sets of pairs of </w:t>
      </w:r>
      <w:r w:rsidR="00433A53">
        <w:t xml:space="preserve">polished </w:t>
      </w:r>
      <w:r>
        <w:t xml:space="preserve">mirror maps mentioned in Sec.4, round trip losses were calculated for FP </w:t>
      </w:r>
      <w:r w:rsidR="00433A53">
        <w:t xml:space="preserve">cavities with length of 4km and mirror aperture of 34cm. Each line corresponds to loss </w:t>
      </w:r>
      <w:proofErr w:type="spellStart"/>
      <w:r w:rsidR="00433A53">
        <w:t>vs</w:t>
      </w:r>
      <w:proofErr w:type="spellEnd"/>
      <w:r w:rsidR="00433A53">
        <w:t xml:space="preserve"> beam size</w:t>
      </w:r>
      <w:r>
        <w:t xml:space="preserve"> </w:t>
      </w:r>
      <w:r w:rsidR="00433A53">
        <w:t>with one set of mirror map pair. The HOM plot has multiple lines but all are almost identical.</w:t>
      </w:r>
    </w:p>
    <w:p w14:paraId="5EDFF7CD" w14:textId="61366A15" w:rsidR="004B5953" w:rsidRDefault="00433A53" w:rsidP="004B5953">
      <w:r>
        <w:t>The round trip loss is ~10ppm with a beam size of 6.5cm and is ~50ppm with 7cm beam</w:t>
      </w:r>
      <w:r w:rsidR="004B5953">
        <w:t>.</w:t>
      </w:r>
      <w:r>
        <w:t xml:space="preserve"> This is the result using polished mirror maps, and the coating can increase the loss by several 10%.</w:t>
      </w:r>
    </w:p>
    <w:p w14:paraId="1495A7AA" w14:textId="55F5E577" w:rsidR="00050431" w:rsidRDefault="00050431">
      <w:pPr>
        <w:spacing w:before="0"/>
        <w:jc w:val="left"/>
      </w:pPr>
      <w:r>
        <w:br w:type="page"/>
      </w:r>
    </w:p>
    <w:p w14:paraId="47430B55" w14:textId="0EA6A38A" w:rsidR="00A9798A" w:rsidRDefault="00713CFC" w:rsidP="00A9798A">
      <w:pPr>
        <w:pStyle w:val="Heading1"/>
      </w:pPr>
      <w:r>
        <w:t xml:space="preserve">Extrapolation </w:t>
      </w:r>
      <w:r w:rsidR="00A9798A">
        <w:t>to larger area</w:t>
      </w:r>
    </w:p>
    <w:p w14:paraId="735640CC" w14:textId="44FF8897" w:rsidR="00A9798A" w:rsidRDefault="00A9798A" w:rsidP="00A9798A">
      <w:r>
        <w:t xml:space="preserve">Based on the polishing and coating data available for </w:t>
      </w:r>
      <w:proofErr w:type="spellStart"/>
      <w:r>
        <w:t>aLIGO</w:t>
      </w:r>
      <w:proofErr w:type="spellEnd"/>
      <w:r>
        <w:t xml:space="preserve"> mirrors, mirror surface maps with larger apertures are created as follows and those maps are used in the following analysis.</w:t>
      </w:r>
    </w:p>
    <w:p w14:paraId="6E7CCE34" w14:textId="2124C7F0" w:rsidR="00A9798A" w:rsidRDefault="00A9798A" w:rsidP="00A9798A">
      <w:r>
        <w:t xml:space="preserve">The polished surface </w:t>
      </w:r>
      <w:r w:rsidR="006F1553">
        <w:t>is extended to outer area</w:t>
      </w:r>
      <w:r w:rsidR="00713CFC">
        <w:t>, r&gt;r</w:t>
      </w:r>
      <w:r w:rsidR="00713CFC">
        <w:rPr>
          <w:vertAlign w:val="subscript"/>
        </w:rPr>
        <w:t>0</w:t>
      </w:r>
      <w:r w:rsidR="00713CFC">
        <w:t>,</w:t>
      </w:r>
      <w:r w:rsidR="006F1553">
        <w:t xml:space="preserve"> by using the following formula.</w:t>
      </w:r>
    </w:p>
    <w:p w14:paraId="4F5D2C66" w14:textId="77777777" w:rsidR="003D7644" w:rsidRDefault="003D7644" w:rsidP="003D7644">
      <w:pPr>
        <w:jc w:val="center"/>
      </w:pPr>
      <w:r w:rsidRPr="003D7644">
        <w:rPr>
          <w:position w:val="-30"/>
        </w:rPr>
        <w:object w:dxaOrig="5640" w:dyaOrig="680" w14:anchorId="447D2E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82pt;height:34pt" o:ole="">
            <v:imagedata r:id="rId14" o:title=""/>
          </v:shape>
          <o:OLEObject Type="Embed" ProgID="Equation.DSMT4" ShapeID="_x0000_i1036" DrawAspect="Content" ObjectID="_1363769369" r:id="rId15"/>
        </w:object>
      </w:r>
    </w:p>
    <w:p w14:paraId="0ED191BD" w14:textId="1F3C5D1D" w:rsidR="003D7644" w:rsidRDefault="003D7644" w:rsidP="003D7644">
      <w:r>
        <w:t>In this formula, r</w:t>
      </w:r>
      <w:r>
        <w:rPr>
          <w:vertAlign w:val="subscript"/>
        </w:rPr>
        <w:t>0</w:t>
      </w:r>
      <w:r>
        <w:t xml:space="preserve"> is the outmost radius of the original map data available, and </w:t>
      </w:r>
      <w:bookmarkStart w:id="12" w:name="OLE_LINK11"/>
      <w:bookmarkStart w:id="13" w:name="OLE_LINK14"/>
      <w:r w:rsidR="00713CFC">
        <w:t>α</w:t>
      </w:r>
      <w:bookmarkEnd w:id="12"/>
      <w:bookmarkEnd w:id="13"/>
      <w:r w:rsidR="00713CFC">
        <w:t xml:space="preserve"> is used to worsen the aberration outside of r</w:t>
      </w:r>
      <w:r w:rsidR="00713CFC">
        <w:rPr>
          <w:vertAlign w:val="subscript"/>
        </w:rPr>
        <w:t>0</w:t>
      </w:r>
      <w:r w:rsidR="00713CFC">
        <w:t>. In the following analysis, α = 1 is used.</w:t>
      </w:r>
    </w:p>
    <w:p w14:paraId="5570FA25" w14:textId="1CA645FA" w:rsidR="004B5953" w:rsidRDefault="00713CFC" w:rsidP="004B5953">
      <w:r>
        <w:t>The extrapolation of the coated surface is more tricky</w:t>
      </w:r>
      <w:r w:rsidR="00BA3F23">
        <w:t xml:space="preserve"> and ambiguous</w:t>
      </w:r>
      <w:r>
        <w:t xml:space="preserve">. </w:t>
      </w:r>
      <w:r w:rsidR="007B59CE">
        <w:t xml:space="preserve">A map is fit </w:t>
      </w:r>
      <w:r w:rsidR="00BA3F23">
        <w:t xml:space="preserve">by </w:t>
      </w:r>
      <w:r w:rsidR="007B59CE">
        <w:t>Zernike terms</w:t>
      </w:r>
      <w:r w:rsidR="00BA3F23">
        <w:t xml:space="preserve"> within a radius of r</w:t>
      </w:r>
      <w:r w:rsidR="00BA3F23">
        <w:rPr>
          <w:vertAlign w:val="subscript"/>
        </w:rPr>
        <w:t>0</w:t>
      </w:r>
      <w:r w:rsidR="007B59CE">
        <w:t>,</w:t>
      </w:r>
      <w:r w:rsidR="00BA3F23">
        <w:t xml:space="preserve"> and the original map is separated to low frequency part and high frequency part. The low frequency part is a sum of Zernike terms with </w:t>
      </w:r>
      <w:proofErr w:type="spellStart"/>
      <w:r w:rsidR="00BA3F23">
        <w:t>n+m</w:t>
      </w:r>
      <w:proofErr w:type="spellEnd"/>
      <w:r w:rsidR="00BA3F23">
        <w:t xml:space="preserve">&lt;=8, and the high frequency part is the rest. The high frequency part is extended using the formula above to the larger area. The low frequency part is extended using the sum of lower order Zernike terms just by using larger </w:t>
      </w:r>
      <w:proofErr w:type="gramStart"/>
      <w:r w:rsidR="00BA3F23">
        <w:t>r value</w:t>
      </w:r>
      <w:proofErr w:type="gramEnd"/>
      <w:r w:rsidR="00BA3F23">
        <w:t>. Because of the nature of Zernike functions, this low frequency part becomes large for r &gt; r</w:t>
      </w:r>
      <w:r w:rsidR="00BA3F23">
        <w:rPr>
          <w:vertAlign w:val="subscript"/>
        </w:rPr>
        <w:t>0</w:t>
      </w:r>
      <w:r w:rsidR="00BA3F23">
        <w:t>.  The sum of the low frequency part and the high frequency part, which were extended using separate methods, are added together to form a new extended map.</w:t>
      </w:r>
    </w:p>
    <w:p w14:paraId="086EC5C8" w14:textId="3AF68505" w:rsidR="00BA3F23" w:rsidRDefault="00BA3F23" w:rsidP="004B5953">
      <w:r>
        <w:t>The new map has the following features. First, within the radius r</w:t>
      </w:r>
      <w:r>
        <w:rPr>
          <w:vertAlign w:val="subscript"/>
        </w:rPr>
        <w:t>0</w:t>
      </w:r>
      <w:r>
        <w:t>, it is close to the original map. The coating</w:t>
      </w:r>
      <w:r w:rsidR="00070666">
        <w:t xml:space="preserve"> in the central region is very good and it is good enough approximation to use the polished surface map. Second, short wavelength variations are almost the same in the entire mirror surface, somewhat worse at the outer edge. Third, the map varies very rapidly outside of the region where the fit was applied, i.e., r &gt; </w:t>
      </w:r>
      <w:bookmarkStart w:id="14" w:name="OLE_LINK15"/>
      <w:bookmarkStart w:id="15" w:name="OLE_LINK16"/>
      <w:r w:rsidR="00070666">
        <w:t>r</w:t>
      </w:r>
      <w:r w:rsidR="00070666">
        <w:rPr>
          <w:vertAlign w:val="subscript"/>
        </w:rPr>
        <w:t>0</w:t>
      </w:r>
      <w:r w:rsidR="00070666">
        <w:t>.</w:t>
      </w:r>
      <w:bookmarkEnd w:id="14"/>
      <w:bookmarkEnd w:id="15"/>
      <w:r w:rsidR="00070666">
        <w:t xml:space="preserve"> The rapid blowup just outside of r</w:t>
      </w:r>
      <w:r w:rsidR="00070666">
        <w:rPr>
          <w:vertAlign w:val="subscript"/>
        </w:rPr>
        <w:t>0</w:t>
      </w:r>
      <w:r w:rsidR="00070666">
        <w:t xml:space="preserve"> is not the exact reproduction of the coating uniformity blowup shown in Fig.1, but the shape and the magnitude is close when </w:t>
      </w:r>
      <w:r w:rsidR="00070666">
        <w:t>r</w:t>
      </w:r>
      <w:r w:rsidR="00070666">
        <w:rPr>
          <w:vertAlign w:val="subscript"/>
        </w:rPr>
        <w:t>0</w:t>
      </w:r>
      <w:r w:rsidR="00070666">
        <w:t xml:space="preserve"> is chosen properly.</w:t>
      </w:r>
    </w:p>
    <w:p w14:paraId="1C671DFF" w14:textId="2339E15B" w:rsidR="00070666" w:rsidRPr="00070666" w:rsidRDefault="00070666" w:rsidP="004B5953">
      <w:r>
        <w:t>This method of the extrapolation of the coating profile outside of the central region is not a real simulation of the coating structure. But this will serve to show the effect of the non-uniformity of the coating in semi-quantitatively.</w:t>
      </w:r>
    </w:p>
    <w:p w14:paraId="5E7352FD" w14:textId="50154972" w:rsidR="004B5953" w:rsidRDefault="004B5953" w:rsidP="004B5953">
      <w:pPr>
        <w:pStyle w:val="Heading1"/>
      </w:pPr>
      <w:bookmarkStart w:id="16" w:name="OLE_LINK7"/>
      <w:bookmarkStart w:id="17" w:name="OLE_LINK8"/>
      <w:bookmarkStart w:id="18" w:name="OLE_LINK9"/>
      <w:bookmarkStart w:id="19" w:name="OLE_LINK10"/>
      <w:r>
        <w:t>Loss estimation with larger mirror aperture</w:t>
      </w:r>
    </w:p>
    <w:bookmarkEnd w:id="18"/>
    <w:bookmarkEnd w:id="19"/>
    <w:p w14:paraId="48C8509F" w14:textId="77777777" w:rsidR="00050431" w:rsidRDefault="00050431" w:rsidP="00050431">
      <w:pPr>
        <w:keepNext/>
        <w:jc w:val="center"/>
      </w:pPr>
      <w:r>
        <w:rPr>
          <w:noProof/>
          <w:lang w:eastAsia="ja-JP"/>
        </w:rPr>
        <w:drawing>
          <wp:inline distT="0" distB="0" distL="0" distR="0" wp14:anchorId="3302B284" wp14:editId="3F1D465B">
            <wp:extent cx="5175250" cy="70866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ssVsMirrorSize.pdf"/>
                    <pic:cNvPicPr/>
                  </pic:nvPicPr>
                  <pic:blipFill rotWithShape="1">
                    <a:blip r:embed="rId16">
                      <a:extLst>
                        <a:ext uri="{28A0092B-C50C-407E-A947-70E740481C1C}">
                          <a14:useLocalDpi xmlns:a14="http://schemas.microsoft.com/office/drawing/2010/main" val="0"/>
                        </a:ext>
                      </a:extLst>
                    </a:blip>
                    <a:srcRect l="7508" t="4433" r="7508" b="5648"/>
                    <a:stretch/>
                  </pic:blipFill>
                  <pic:spPr bwMode="auto">
                    <a:xfrm>
                      <a:off x="0" y="0"/>
                      <a:ext cx="5175250" cy="7086600"/>
                    </a:xfrm>
                    <a:prstGeom prst="rect">
                      <a:avLst/>
                    </a:prstGeom>
                    <a:ln>
                      <a:noFill/>
                    </a:ln>
                    <a:extLst>
                      <a:ext uri="{53640926-AAD7-44d8-BBD7-CCE9431645EC}">
                        <a14:shadowObscured xmlns:a14="http://schemas.microsoft.com/office/drawing/2010/main"/>
                      </a:ext>
                    </a:extLst>
                  </pic:spPr>
                </pic:pic>
              </a:graphicData>
            </a:graphic>
          </wp:inline>
        </w:drawing>
      </w:r>
    </w:p>
    <w:p w14:paraId="6D905ABD" w14:textId="7D5DAD80" w:rsidR="00050431" w:rsidRDefault="00050431" w:rsidP="00050431">
      <w:pPr>
        <w:pStyle w:val="Caption"/>
        <w:jc w:val="center"/>
      </w:pPr>
      <w:r>
        <w:t xml:space="preserve">Figure </w:t>
      </w:r>
      <w:fldSimple w:instr=" SEQ Figure \* ARABIC ">
        <w:r w:rsidR="00444CD7">
          <w:rPr>
            <w:noProof/>
          </w:rPr>
          <w:t>6</w:t>
        </w:r>
      </w:fldSimple>
      <w:r>
        <w:t xml:space="preserve"> Loss </w:t>
      </w:r>
      <w:proofErr w:type="spellStart"/>
      <w:r>
        <w:t>vs</w:t>
      </w:r>
      <w:proofErr w:type="spellEnd"/>
      <w:r>
        <w:t xml:space="preserve"> Mirror size</w:t>
      </w:r>
    </w:p>
    <w:p w14:paraId="57E9E212" w14:textId="77777777" w:rsidR="00640B43" w:rsidRDefault="00050431" w:rsidP="00640B43">
      <w:r>
        <w:t xml:space="preserve">Top row is the case with mirror size of 45cm, second 40cm and third 34cm. First column is the case that the coated surface is flat only in 20cm aperture, which is the case of FM06. Middle column is the case that the coating is flat in the central 30cm aperture and the right column is the case that the coating will not degrade the polishing </w:t>
      </w:r>
      <w:r w:rsidR="00640B43">
        <w:t xml:space="preserve">roughness. </w:t>
      </w:r>
      <w:bookmarkEnd w:id="16"/>
      <w:bookmarkEnd w:id="17"/>
    </w:p>
    <w:p w14:paraId="0EC1B2A8" w14:textId="68502CE8" w:rsidR="00640B43" w:rsidRDefault="00640B43" w:rsidP="00640B43">
      <w:r>
        <w:t>Multipl</w:t>
      </w:r>
      <w:r w:rsidR="00433A53">
        <w:t>e lines in each plot correspond</w:t>
      </w:r>
      <w:r>
        <w:t xml:space="preserve"> to results using maps in Fig.4. The coating effect is more important than the polishing quality.</w:t>
      </w:r>
    </w:p>
    <w:p w14:paraId="7BFD6AC2" w14:textId="334F4CA4" w:rsidR="00640B43" w:rsidRDefault="00640B43" w:rsidP="00640B43">
      <w:r>
        <w:t>Right most column (no deformation by coating) shows that the round trip loss for beam size of 8cm configuration is less than 10ppm, ~20ppm and several 100ppm for the mirror size of 45cm, 40cm and 34cm respectively. Or, if the requirement of the round trip loss due to the figure is 30ppm, the beam size limit is 9.5cm for 45cm mirror, 8cm for 40cm and 7cm for 34cm mirror.</w:t>
      </w:r>
      <w:r w:rsidR="00EB3827">
        <w:t xml:space="preserve"> </w:t>
      </w:r>
    </w:p>
    <w:p w14:paraId="684B7EE0" w14:textId="63C93F25" w:rsidR="00EB3827" w:rsidRDefault="00EB3827" w:rsidP="00640B43">
      <w:r>
        <w:t>If the coating changes the thickness at 30cm aperture, 40cm or 45cm mirror size does not matter.</w:t>
      </w:r>
    </w:p>
    <w:p w14:paraId="0527441C" w14:textId="77777777" w:rsidR="00F13401" w:rsidRDefault="00F13401" w:rsidP="00F13401">
      <w:pPr>
        <w:keepNext/>
        <w:jc w:val="center"/>
      </w:pPr>
      <w:r>
        <w:rPr>
          <w:noProof/>
          <w:lang w:eastAsia="ja-JP"/>
        </w:rPr>
        <w:drawing>
          <wp:inline distT="0" distB="0" distL="0" distR="0" wp14:anchorId="7DA139C6" wp14:editId="2D64B4E2">
            <wp:extent cx="3616960" cy="2889158"/>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_width_loss.pdf"/>
                    <pic:cNvPicPr/>
                  </pic:nvPicPr>
                  <pic:blipFill rotWithShape="1">
                    <a:blip r:embed="rId17">
                      <a:extLst>
                        <a:ext uri="{28A0092B-C50C-407E-A947-70E740481C1C}">
                          <a14:useLocalDpi xmlns:a14="http://schemas.microsoft.com/office/drawing/2010/main" val="0"/>
                        </a:ext>
                      </a:extLst>
                    </a:blip>
                    <a:srcRect l="7195" t="5668" r="7299" b="5938"/>
                    <a:stretch/>
                  </pic:blipFill>
                  <pic:spPr bwMode="auto">
                    <a:xfrm>
                      <a:off x="0" y="0"/>
                      <a:ext cx="3617201" cy="2889351"/>
                    </a:xfrm>
                    <a:prstGeom prst="rect">
                      <a:avLst/>
                    </a:prstGeom>
                    <a:ln>
                      <a:noFill/>
                    </a:ln>
                    <a:extLst>
                      <a:ext uri="{53640926-AAD7-44d8-BBD7-CCE9431645EC}">
                        <a14:shadowObscured xmlns:a14="http://schemas.microsoft.com/office/drawing/2010/main"/>
                      </a:ext>
                    </a:extLst>
                  </pic:spPr>
                </pic:pic>
              </a:graphicData>
            </a:graphic>
          </wp:inline>
        </w:drawing>
      </w:r>
    </w:p>
    <w:p w14:paraId="5AC3DDF1" w14:textId="17C880FF" w:rsidR="00F13401" w:rsidRDefault="00F13401" w:rsidP="00F13401">
      <w:pPr>
        <w:pStyle w:val="Caption"/>
        <w:jc w:val="center"/>
      </w:pPr>
      <w:r>
        <w:t xml:space="preserve">Figure </w:t>
      </w:r>
      <w:fldSimple w:instr=" SEQ Figure \* ARABIC ">
        <w:r w:rsidR="00444CD7">
          <w:rPr>
            <w:noProof/>
          </w:rPr>
          <w:t>7</w:t>
        </w:r>
      </w:fldSimple>
      <w:r>
        <w:t xml:space="preserve"> Round trip loss </w:t>
      </w:r>
      <w:proofErr w:type="spellStart"/>
      <w:r>
        <w:t>vs</w:t>
      </w:r>
      <w:proofErr w:type="spellEnd"/>
      <w:r>
        <w:t xml:space="preserve"> Mirror size – summary</w:t>
      </w:r>
    </w:p>
    <w:p w14:paraId="361D295C" w14:textId="1FE5932C" w:rsidR="00F13401" w:rsidRDefault="00F13401" w:rsidP="00F13401">
      <w:r>
        <w:t xml:space="preserve">Figure 7 shows the summary of the plots in Fig.6. Each line and associated error bars in Fig.7 </w:t>
      </w:r>
      <w:r w:rsidR="00086B65">
        <w:t>are</w:t>
      </w:r>
      <w:r>
        <w:t xml:space="preserve"> the average and mean of lines in each plot in Fig.6. E.g., the green solid line, </w:t>
      </w:r>
      <w:r w:rsidR="00086B65">
        <w:t>“</w:t>
      </w:r>
      <w:r>
        <w:t>A=45cm, good coating all</w:t>
      </w:r>
      <w:r w:rsidR="00086B65">
        <w:t>”</w:t>
      </w:r>
      <w:r>
        <w:t xml:space="preserve">, corresponds to the top-right plot in Fig.6. </w:t>
      </w:r>
    </w:p>
    <w:p w14:paraId="106B678E" w14:textId="329C71E4" w:rsidR="00F13401" w:rsidRDefault="00F13401" w:rsidP="00F13401">
      <w:r>
        <w:t>Three solid lines, blue, red and green, show that the loss becomes smaller as the mirror size becomes larger if the mirror surface aberration is determined by the polishing quality. The size of the error bar of each line indicates that variation of polishing, shown in Fig.4, does not change the major characteristics of the dependence of the loss on the mirror and beam size.</w:t>
      </w:r>
    </w:p>
    <w:p w14:paraId="54B4AEA2" w14:textId="5359A442" w:rsidR="00F13401" w:rsidRPr="00F13401" w:rsidRDefault="00F13401" w:rsidP="00F13401">
      <w:r>
        <w:t xml:space="preserve">Red and blue dotted lines over lap each other. This means that, if the </w:t>
      </w:r>
      <w:proofErr w:type="gramStart"/>
      <w:r>
        <w:t>surface aberration is compromised by the coating outside of 30cm aperture</w:t>
      </w:r>
      <w:proofErr w:type="gramEnd"/>
      <w:r>
        <w:t>, the reduction of the loss by using larger mirror size is minimal. This statement is strongly dependent on the assumption how the coating thickness variation would be at the outer region,</w:t>
      </w:r>
      <w:r w:rsidR="00086B65">
        <w:t xml:space="preserve"> but it is indicative that it is very important that the coating uniformity at the mirror boundary is important to utilize the larger mirror size to reduce the round trip loss.</w:t>
      </w:r>
    </w:p>
    <w:p w14:paraId="1FD17440" w14:textId="1B714C87" w:rsidR="004B5953" w:rsidRDefault="004B5953" w:rsidP="004B5953">
      <w:pPr>
        <w:pStyle w:val="Heading1"/>
      </w:pPr>
      <w:r>
        <w:t>Estimation of the higher order modes by the ITM transmission maps</w:t>
      </w:r>
    </w:p>
    <w:p w14:paraId="704F543D" w14:textId="77777777" w:rsidR="00C15101" w:rsidRPr="00DA11F3" w:rsidRDefault="00C15101" w:rsidP="00C15101"/>
    <w:sectPr w:rsidR="00C15101" w:rsidRPr="00DA11F3">
      <w:headerReference w:type="default" r:id="rId18"/>
      <w:footerReference w:type="even" r:id="rId19"/>
      <w:footerReference w:type="default" r:id="rId20"/>
      <w:headerReference w:type="first" r:id="rId21"/>
      <w:type w:val="continuous"/>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78F1C9" w14:textId="77777777" w:rsidR="00BA3F23" w:rsidRDefault="00BA3F23">
      <w:r>
        <w:separator/>
      </w:r>
    </w:p>
  </w:endnote>
  <w:endnote w:type="continuationSeparator" w:id="0">
    <w:p w14:paraId="6A75D852" w14:textId="77777777" w:rsidR="00BA3F23" w:rsidRDefault="00BA3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ourier New">
    <w:panose1 w:val="020703090202050204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entury">
    <w:panose1 w:val="020406040505050203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FE8B3E2" w14:textId="77777777" w:rsidR="00BA3F23" w:rsidRDefault="00BA3F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D49C3AA" w14:textId="77777777" w:rsidR="00BA3F23" w:rsidRDefault="00BA3F2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4D67436" w14:textId="77777777" w:rsidR="00BA3F23" w:rsidRDefault="00BA3F23">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444CD7">
      <w:rPr>
        <w:rStyle w:val="PageNumber"/>
        <w:noProof/>
      </w:rPr>
      <w:t>2</w:t>
    </w:r>
    <w:r>
      <w:rPr>
        <w:rStyle w:val="PageNumber"/>
      </w:rPr>
      <w:fldChar w:fldCharType="end"/>
    </w:r>
  </w:p>
  <w:p w14:paraId="3234FB15" w14:textId="77777777" w:rsidR="00BA3F23" w:rsidRDefault="00BA3F2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C31793" w14:textId="77777777" w:rsidR="00BA3F23" w:rsidRDefault="00BA3F23">
      <w:r>
        <w:separator/>
      </w:r>
    </w:p>
  </w:footnote>
  <w:footnote w:type="continuationSeparator" w:id="0">
    <w:p w14:paraId="1BB8941D" w14:textId="77777777" w:rsidR="00BA3F23" w:rsidRDefault="00BA3F2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076BEA1" w14:textId="18226635" w:rsidR="00BA3F23" w:rsidRDefault="00BA3F23">
    <w:pPr>
      <w:pStyle w:val="Header"/>
      <w:tabs>
        <w:tab w:val="clear" w:pos="4320"/>
        <w:tab w:val="center" w:pos="4680"/>
      </w:tabs>
      <w:jc w:val="left"/>
      <w:rPr>
        <w:sz w:val="20"/>
      </w:rPr>
    </w:pPr>
    <w:r>
      <w:rPr>
        <w:b/>
        <w:bCs/>
        <w:i/>
        <w:iCs/>
        <w:color w:val="0000FF"/>
        <w:sz w:val="20"/>
      </w:rPr>
      <w:t>LIGO</w:t>
    </w:r>
    <w:r>
      <w:rPr>
        <w:sz w:val="20"/>
      </w:rPr>
      <w:tab/>
      <w:t>LIGO-</w:t>
    </w:r>
    <w:r w:rsidRPr="000E6EAA">
      <w:rPr>
        <w:sz w:val="20"/>
      </w:rPr>
      <w:t>T1500043</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CD32D3A" w14:textId="77777777" w:rsidR="00BA3F23" w:rsidRDefault="00BA3F23">
    <w:pPr>
      <w:pStyle w:val="Header"/>
      <w:jc w:val="right"/>
    </w:pPr>
    <w:r>
      <w:rPr>
        <w:b/>
        <w:caps/>
      </w:rPr>
      <w:t>Laser Interferometer Gravitational Wave Observatory</w:t>
    </w:r>
    <w:r>
      <w:rPr>
        <w:noProof/>
        <w:sz w:val="20"/>
      </w:rPr>
      <w:t xml:space="preserve"> </w:t>
    </w:r>
    <w:r>
      <w:rPr>
        <w:noProof/>
        <w:sz w:val="20"/>
      </w:rPr>
      <w:pict w14:anchorId="122CBF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363769370" r:id="rId2"/>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0409000F"/>
    <w:lvl w:ilvl="0">
      <w:start w:val="1"/>
      <w:numFmt w:val="decimal"/>
      <w:lvlText w:val="%1."/>
      <w:lvlJc w:val="left"/>
      <w:pPr>
        <w:ind w:left="480" w:hanging="48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116337BF"/>
    <w:multiLevelType w:val="hybridMultilevel"/>
    <w:tmpl w:val="2086FF48"/>
    <w:lvl w:ilvl="0" w:tplc="7CE62B78">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nsid w:val="24FD327A"/>
    <w:multiLevelType w:val="hybridMultilevel"/>
    <w:tmpl w:val="76563AEE"/>
    <w:lvl w:ilvl="0" w:tplc="84565918">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nsid w:val="372536C9"/>
    <w:multiLevelType w:val="hybridMultilevel"/>
    <w:tmpl w:val="D8B674B0"/>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
    <w:nsid w:val="4186047E"/>
    <w:multiLevelType w:val="hybridMultilevel"/>
    <w:tmpl w:val="F7201072"/>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nsid w:val="4EBF4594"/>
    <w:multiLevelType w:val="multilevel"/>
    <w:tmpl w:val="F85A47B6"/>
    <w:lvl w:ilvl="0">
      <w:start w:val="1"/>
      <w:numFmt w:val="decimal"/>
      <w:lvlText w:val="%1."/>
      <w:lvlJc w:val="left"/>
      <w:pPr>
        <w:ind w:left="360" w:hanging="360"/>
      </w:pPr>
      <w:rPr>
        <w:rFonts w:ascii="Times New Roman" w:eastAsia="MS Mincho" w:hAnsi="Times New Roman" w:cs="Times New Roman"/>
      </w:rPr>
    </w:lvl>
    <w:lvl w:ilvl="1">
      <w:start w:val="1"/>
      <w:numFmt w:val="aiueoFullWidth"/>
      <w:lvlText w:val="(%2)"/>
      <w:lvlJc w:val="left"/>
      <w:pPr>
        <w:ind w:left="960" w:hanging="480"/>
      </w:pPr>
    </w:lvl>
    <w:lvl w:ilvl="2">
      <w:start w:val="1"/>
      <w:numFmt w:val="decimalEnclosedCircle"/>
      <w:lvlText w:val="%3"/>
      <w:lvlJc w:val="left"/>
      <w:pPr>
        <w:ind w:left="1440" w:hanging="480"/>
      </w:pPr>
    </w:lvl>
    <w:lvl w:ilvl="3">
      <w:start w:val="1"/>
      <w:numFmt w:val="decimal"/>
      <w:lvlText w:val="%4."/>
      <w:lvlJc w:val="left"/>
      <w:pPr>
        <w:ind w:left="1920" w:hanging="480"/>
      </w:pPr>
    </w:lvl>
    <w:lvl w:ilvl="4">
      <w:start w:val="1"/>
      <w:numFmt w:val="aiueoFullWidth"/>
      <w:lvlText w:val="(%5)"/>
      <w:lvlJc w:val="left"/>
      <w:pPr>
        <w:ind w:left="2400" w:hanging="480"/>
      </w:pPr>
    </w:lvl>
    <w:lvl w:ilvl="5">
      <w:start w:val="1"/>
      <w:numFmt w:val="decimalEnclosedCircle"/>
      <w:lvlText w:val="%6"/>
      <w:lvlJc w:val="left"/>
      <w:pPr>
        <w:ind w:left="2880" w:hanging="480"/>
      </w:pPr>
    </w:lvl>
    <w:lvl w:ilvl="6">
      <w:start w:val="1"/>
      <w:numFmt w:val="decimal"/>
      <w:lvlText w:val="%7."/>
      <w:lvlJc w:val="left"/>
      <w:pPr>
        <w:ind w:left="3360" w:hanging="480"/>
      </w:pPr>
    </w:lvl>
    <w:lvl w:ilvl="7">
      <w:start w:val="1"/>
      <w:numFmt w:val="aiueoFullWidth"/>
      <w:lvlText w:val="(%8)"/>
      <w:lvlJc w:val="left"/>
      <w:pPr>
        <w:ind w:left="3840" w:hanging="480"/>
      </w:pPr>
    </w:lvl>
    <w:lvl w:ilvl="8">
      <w:start w:val="1"/>
      <w:numFmt w:val="decimalEnclosedCircle"/>
      <w:lvlText w:val="%9"/>
      <w:lvlJc w:val="left"/>
      <w:pPr>
        <w:ind w:left="4320" w:hanging="480"/>
      </w:pPr>
    </w:lvl>
  </w:abstractNum>
  <w:abstractNum w:abstractNumId="8">
    <w:nsid w:val="562D3A3E"/>
    <w:multiLevelType w:val="hybridMultilevel"/>
    <w:tmpl w:val="F85A47B6"/>
    <w:lvl w:ilvl="0" w:tplc="7B04AF32">
      <w:start w:val="1"/>
      <w:numFmt w:val="decimal"/>
      <w:lvlText w:val="%1."/>
      <w:lvlJc w:val="left"/>
      <w:pPr>
        <w:ind w:left="360" w:hanging="360"/>
      </w:pPr>
      <w:rPr>
        <w:rFonts w:ascii="Times New Roman" w:eastAsia="MS Mincho" w:hAnsi="Times New Roman" w:cs="Times New Roman"/>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nsid w:val="7A433082"/>
    <w:multiLevelType w:val="multilevel"/>
    <w:tmpl w:val="CAA0F24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 w:numId="3">
    <w:abstractNumId w:val="2"/>
  </w:num>
  <w:num w:numId="4">
    <w:abstractNumId w:val="9"/>
  </w:num>
  <w:num w:numId="5">
    <w:abstractNumId w:val="8"/>
  </w:num>
  <w:num w:numId="6">
    <w:abstractNumId w:val="7"/>
  </w:num>
  <w:num w:numId="7">
    <w:abstractNumId w:val="5"/>
  </w:num>
  <w:num w:numId="8">
    <w:abstractNumId w:val="6"/>
  </w:num>
  <w:num w:numId="9">
    <w:abstractNumId w:val="3"/>
  </w:num>
  <w:num w:numId="10">
    <w:abstractNumId w:val="9"/>
  </w:num>
  <w:num w:numId="11">
    <w:abstractNumId w:val="9"/>
  </w:num>
  <w:num w:numId="12">
    <w:abstractNumId w:val="9"/>
  </w:num>
  <w:num w:numId="13">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activeWritingStyle w:appName="MSWord" w:lang="en-US" w:vendorID="64" w:dllVersion="131078" w:nlCheck="1" w:checkStyle="1"/>
  <w:activeWritingStyle w:appName="MSWord" w:lang="de-DE" w:vendorID="64" w:dllVersion="131078" w:nlCheck="1" w:checkStyle="1"/>
  <w:activeWritingStyle w:appName="MSWord" w:lang="ja-JP" w:vendorID="64" w:dllVersion="131078" w:nlCheck="1" w:checkStyle="1"/>
  <w:activeWritingStyle w:appName="MSWord" w:lang="en-US" w:vendorID="6" w:dllVersion="2" w:checkStyle="1"/>
  <w:activeWritingStyle w:appName="MSWord" w:lang="it-IT" w:vendorID="3" w:dllVersion="517" w:checkStyle="1"/>
  <w:proofState w:spelling="clean" w:grammar="clean"/>
  <w:stylePaneSortMethod w:val="0000"/>
  <w:defaultTabStop w:val="720"/>
  <w:displayHorizontalDrawingGridEvery w:val="0"/>
  <w:displayVerticalDrawingGridEvery w:val="0"/>
  <w:doNotUseMarginsForDrawingGridOrigin/>
  <w:noPunctuationKerning/>
  <w:characterSpacingControl w:val="doNotCompress"/>
  <w:savePreviewPicture/>
  <w:hdrShapeDefaults>
    <o:shapedefaults v:ext="edit" spidmax="2052">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B2"/>
    <w:rsid w:val="00017C30"/>
    <w:rsid w:val="00024EAF"/>
    <w:rsid w:val="00031343"/>
    <w:rsid w:val="00041D8F"/>
    <w:rsid w:val="00050431"/>
    <w:rsid w:val="00066A1C"/>
    <w:rsid w:val="00067F66"/>
    <w:rsid w:val="00070666"/>
    <w:rsid w:val="00073461"/>
    <w:rsid w:val="00081F14"/>
    <w:rsid w:val="00086B65"/>
    <w:rsid w:val="000A197C"/>
    <w:rsid w:val="000B2947"/>
    <w:rsid w:val="000B2CEA"/>
    <w:rsid w:val="000B5E5B"/>
    <w:rsid w:val="000C4759"/>
    <w:rsid w:val="000C47E4"/>
    <w:rsid w:val="000C5B4A"/>
    <w:rsid w:val="000E4502"/>
    <w:rsid w:val="000E6EAA"/>
    <w:rsid w:val="00102BFE"/>
    <w:rsid w:val="001154C7"/>
    <w:rsid w:val="001170A7"/>
    <w:rsid w:val="00117B52"/>
    <w:rsid w:val="001217EF"/>
    <w:rsid w:val="001269A1"/>
    <w:rsid w:val="00135F0C"/>
    <w:rsid w:val="001411BE"/>
    <w:rsid w:val="001526D1"/>
    <w:rsid w:val="0016050E"/>
    <w:rsid w:val="00171139"/>
    <w:rsid w:val="00173610"/>
    <w:rsid w:val="001819A2"/>
    <w:rsid w:val="00181F2D"/>
    <w:rsid w:val="00184C02"/>
    <w:rsid w:val="001858E1"/>
    <w:rsid w:val="0019288E"/>
    <w:rsid w:val="00194879"/>
    <w:rsid w:val="00194FB6"/>
    <w:rsid w:val="001A402B"/>
    <w:rsid w:val="001B0041"/>
    <w:rsid w:val="001B2ECB"/>
    <w:rsid w:val="001C6DE6"/>
    <w:rsid w:val="001D1171"/>
    <w:rsid w:val="001D7EE5"/>
    <w:rsid w:val="001F6F9B"/>
    <w:rsid w:val="001F775F"/>
    <w:rsid w:val="00206439"/>
    <w:rsid w:val="00207DF4"/>
    <w:rsid w:val="00207F4C"/>
    <w:rsid w:val="00215932"/>
    <w:rsid w:val="00231943"/>
    <w:rsid w:val="00231CD8"/>
    <w:rsid w:val="00244C9C"/>
    <w:rsid w:val="00255BA6"/>
    <w:rsid w:val="00281DF8"/>
    <w:rsid w:val="00290C68"/>
    <w:rsid w:val="002A2E2E"/>
    <w:rsid w:val="002A363E"/>
    <w:rsid w:val="002A5711"/>
    <w:rsid w:val="002B4112"/>
    <w:rsid w:val="002F0FBE"/>
    <w:rsid w:val="002F598B"/>
    <w:rsid w:val="00301014"/>
    <w:rsid w:val="0030545A"/>
    <w:rsid w:val="00322D0F"/>
    <w:rsid w:val="00326969"/>
    <w:rsid w:val="0033202B"/>
    <w:rsid w:val="00336DB0"/>
    <w:rsid w:val="0035036E"/>
    <w:rsid w:val="003519F6"/>
    <w:rsid w:val="00367261"/>
    <w:rsid w:val="00367A08"/>
    <w:rsid w:val="00375CA9"/>
    <w:rsid w:val="003811A1"/>
    <w:rsid w:val="003854A1"/>
    <w:rsid w:val="003A3505"/>
    <w:rsid w:val="003B72AB"/>
    <w:rsid w:val="003C0332"/>
    <w:rsid w:val="003D2042"/>
    <w:rsid w:val="003D3A20"/>
    <w:rsid w:val="003D7644"/>
    <w:rsid w:val="003E0997"/>
    <w:rsid w:val="00410B12"/>
    <w:rsid w:val="00413710"/>
    <w:rsid w:val="0041378C"/>
    <w:rsid w:val="0041391F"/>
    <w:rsid w:val="004255B7"/>
    <w:rsid w:val="0043092A"/>
    <w:rsid w:val="00433019"/>
    <w:rsid w:val="00433A53"/>
    <w:rsid w:val="00434826"/>
    <w:rsid w:val="004376C8"/>
    <w:rsid w:val="00440AF5"/>
    <w:rsid w:val="00444424"/>
    <w:rsid w:val="00444CD7"/>
    <w:rsid w:val="00451190"/>
    <w:rsid w:val="00455E50"/>
    <w:rsid w:val="00460411"/>
    <w:rsid w:val="00471E77"/>
    <w:rsid w:val="00483542"/>
    <w:rsid w:val="004876BE"/>
    <w:rsid w:val="0049014D"/>
    <w:rsid w:val="0049056F"/>
    <w:rsid w:val="00493457"/>
    <w:rsid w:val="00496EAC"/>
    <w:rsid w:val="004B3BB8"/>
    <w:rsid w:val="004B5953"/>
    <w:rsid w:val="004C0188"/>
    <w:rsid w:val="004C282C"/>
    <w:rsid w:val="004C3BE7"/>
    <w:rsid w:val="004C7621"/>
    <w:rsid w:val="004D0E40"/>
    <w:rsid w:val="004D1357"/>
    <w:rsid w:val="004D3B9E"/>
    <w:rsid w:val="00503638"/>
    <w:rsid w:val="00507B7B"/>
    <w:rsid w:val="005107B8"/>
    <w:rsid w:val="00515DCF"/>
    <w:rsid w:val="00521CF0"/>
    <w:rsid w:val="00523057"/>
    <w:rsid w:val="005231D5"/>
    <w:rsid w:val="005333E5"/>
    <w:rsid w:val="00533970"/>
    <w:rsid w:val="00537FCA"/>
    <w:rsid w:val="005423C9"/>
    <w:rsid w:val="00545DDE"/>
    <w:rsid w:val="00546627"/>
    <w:rsid w:val="0055096F"/>
    <w:rsid w:val="00552561"/>
    <w:rsid w:val="0056347D"/>
    <w:rsid w:val="005641D9"/>
    <w:rsid w:val="00570C09"/>
    <w:rsid w:val="005713C1"/>
    <w:rsid w:val="00576DE1"/>
    <w:rsid w:val="00577C6A"/>
    <w:rsid w:val="005812D6"/>
    <w:rsid w:val="00582A6C"/>
    <w:rsid w:val="00585CD9"/>
    <w:rsid w:val="005B018C"/>
    <w:rsid w:val="005C07B2"/>
    <w:rsid w:val="005C1EBD"/>
    <w:rsid w:val="005D469C"/>
    <w:rsid w:val="005E0FBE"/>
    <w:rsid w:val="005F2E7F"/>
    <w:rsid w:val="005F3767"/>
    <w:rsid w:val="005F48B2"/>
    <w:rsid w:val="005F631A"/>
    <w:rsid w:val="0060752E"/>
    <w:rsid w:val="00611F14"/>
    <w:rsid w:val="0061435F"/>
    <w:rsid w:val="00617337"/>
    <w:rsid w:val="006305E4"/>
    <w:rsid w:val="00633E51"/>
    <w:rsid w:val="00640B43"/>
    <w:rsid w:val="00641A71"/>
    <w:rsid w:val="00642943"/>
    <w:rsid w:val="00644BB0"/>
    <w:rsid w:val="00655D06"/>
    <w:rsid w:val="0066485E"/>
    <w:rsid w:val="00671227"/>
    <w:rsid w:val="006772EF"/>
    <w:rsid w:val="00683381"/>
    <w:rsid w:val="00687DE0"/>
    <w:rsid w:val="00692CF3"/>
    <w:rsid w:val="00694EE7"/>
    <w:rsid w:val="006953E2"/>
    <w:rsid w:val="006A328F"/>
    <w:rsid w:val="006C7342"/>
    <w:rsid w:val="006D0475"/>
    <w:rsid w:val="006E35D5"/>
    <w:rsid w:val="006E5540"/>
    <w:rsid w:val="006E6D38"/>
    <w:rsid w:val="006E7D48"/>
    <w:rsid w:val="006F1553"/>
    <w:rsid w:val="006F3858"/>
    <w:rsid w:val="006F716F"/>
    <w:rsid w:val="0071017F"/>
    <w:rsid w:val="00713CFC"/>
    <w:rsid w:val="00720875"/>
    <w:rsid w:val="007300D5"/>
    <w:rsid w:val="007463F3"/>
    <w:rsid w:val="00752271"/>
    <w:rsid w:val="00765021"/>
    <w:rsid w:val="0077137F"/>
    <w:rsid w:val="00783778"/>
    <w:rsid w:val="00793884"/>
    <w:rsid w:val="00797FB4"/>
    <w:rsid w:val="007A2548"/>
    <w:rsid w:val="007A48A4"/>
    <w:rsid w:val="007A6706"/>
    <w:rsid w:val="007B59CE"/>
    <w:rsid w:val="007B6A7E"/>
    <w:rsid w:val="007B6A94"/>
    <w:rsid w:val="007C04ED"/>
    <w:rsid w:val="007C3B7E"/>
    <w:rsid w:val="007D4097"/>
    <w:rsid w:val="007D528B"/>
    <w:rsid w:val="007F31A0"/>
    <w:rsid w:val="007F7391"/>
    <w:rsid w:val="00813C87"/>
    <w:rsid w:val="00815C45"/>
    <w:rsid w:val="00826438"/>
    <w:rsid w:val="00852E2C"/>
    <w:rsid w:val="00855C08"/>
    <w:rsid w:val="00883A3F"/>
    <w:rsid w:val="008863A1"/>
    <w:rsid w:val="008906C6"/>
    <w:rsid w:val="00894F66"/>
    <w:rsid w:val="00894F90"/>
    <w:rsid w:val="00896CA3"/>
    <w:rsid w:val="008973B8"/>
    <w:rsid w:val="008A5799"/>
    <w:rsid w:val="008A7C58"/>
    <w:rsid w:val="008B2845"/>
    <w:rsid w:val="008B7CC3"/>
    <w:rsid w:val="008C0523"/>
    <w:rsid w:val="008D0440"/>
    <w:rsid w:val="008D5410"/>
    <w:rsid w:val="008F3A74"/>
    <w:rsid w:val="008F456C"/>
    <w:rsid w:val="009015F6"/>
    <w:rsid w:val="00901AB9"/>
    <w:rsid w:val="0090202F"/>
    <w:rsid w:val="009068D1"/>
    <w:rsid w:val="00921F77"/>
    <w:rsid w:val="009418B3"/>
    <w:rsid w:val="00950D82"/>
    <w:rsid w:val="00952483"/>
    <w:rsid w:val="0095496A"/>
    <w:rsid w:val="009549B9"/>
    <w:rsid w:val="00961FFF"/>
    <w:rsid w:val="009704A3"/>
    <w:rsid w:val="009729B9"/>
    <w:rsid w:val="0097360F"/>
    <w:rsid w:val="00981B6D"/>
    <w:rsid w:val="00997287"/>
    <w:rsid w:val="009A6F5C"/>
    <w:rsid w:val="009B1D2F"/>
    <w:rsid w:val="009B4124"/>
    <w:rsid w:val="009C2F08"/>
    <w:rsid w:val="009D28B7"/>
    <w:rsid w:val="009E6C34"/>
    <w:rsid w:val="009F413C"/>
    <w:rsid w:val="00A011DD"/>
    <w:rsid w:val="00A0331D"/>
    <w:rsid w:val="00A07D41"/>
    <w:rsid w:val="00A1755F"/>
    <w:rsid w:val="00A22F7F"/>
    <w:rsid w:val="00A30080"/>
    <w:rsid w:val="00A45208"/>
    <w:rsid w:val="00A47710"/>
    <w:rsid w:val="00A52460"/>
    <w:rsid w:val="00A804A7"/>
    <w:rsid w:val="00A871CF"/>
    <w:rsid w:val="00A9798A"/>
    <w:rsid w:val="00AA4276"/>
    <w:rsid w:val="00AA6A5C"/>
    <w:rsid w:val="00AA743E"/>
    <w:rsid w:val="00AB5534"/>
    <w:rsid w:val="00AC1C7D"/>
    <w:rsid w:val="00AD75CD"/>
    <w:rsid w:val="00AE0CA2"/>
    <w:rsid w:val="00AE1BC7"/>
    <w:rsid w:val="00AF1011"/>
    <w:rsid w:val="00B00A0C"/>
    <w:rsid w:val="00B03E3B"/>
    <w:rsid w:val="00B05170"/>
    <w:rsid w:val="00B23919"/>
    <w:rsid w:val="00B32819"/>
    <w:rsid w:val="00B40474"/>
    <w:rsid w:val="00B439C4"/>
    <w:rsid w:val="00B569A6"/>
    <w:rsid w:val="00B5757D"/>
    <w:rsid w:val="00B60859"/>
    <w:rsid w:val="00B61E73"/>
    <w:rsid w:val="00B64034"/>
    <w:rsid w:val="00B70246"/>
    <w:rsid w:val="00B807FA"/>
    <w:rsid w:val="00B833B1"/>
    <w:rsid w:val="00B92AC9"/>
    <w:rsid w:val="00B931E2"/>
    <w:rsid w:val="00BA3F23"/>
    <w:rsid w:val="00BB1BEE"/>
    <w:rsid w:val="00BB423D"/>
    <w:rsid w:val="00BB58B7"/>
    <w:rsid w:val="00BB5C4B"/>
    <w:rsid w:val="00BC2DA5"/>
    <w:rsid w:val="00BD3E1A"/>
    <w:rsid w:val="00BE24AD"/>
    <w:rsid w:val="00BE2F59"/>
    <w:rsid w:val="00BE6204"/>
    <w:rsid w:val="00BE66B5"/>
    <w:rsid w:val="00BF1EAA"/>
    <w:rsid w:val="00BF273A"/>
    <w:rsid w:val="00C003D4"/>
    <w:rsid w:val="00C00C20"/>
    <w:rsid w:val="00C06147"/>
    <w:rsid w:val="00C06588"/>
    <w:rsid w:val="00C10A25"/>
    <w:rsid w:val="00C15101"/>
    <w:rsid w:val="00C1758C"/>
    <w:rsid w:val="00C27B7F"/>
    <w:rsid w:val="00C413E7"/>
    <w:rsid w:val="00C43BD6"/>
    <w:rsid w:val="00C4412B"/>
    <w:rsid w:val="00C50009"/>
    <w:rsid w:val="00C538F9"/>
    <w:rsid w:val="00C540CB"/>
    <w:rsid w:val="00C607CC"/>
    <w:rsid w:val="00C62655"/>
    <w:rsid w:val="00C63E07"/>
    <w:rsid w:val="00C65AA5"/>
    <w:rsid w:val="00C6655A"/>
    <w:rsid w:val="00C84EEF"/>
    <w:rsid w:val="00C85E5B"/>
    <w:rsid w:val="00C85F60"/>
    <w:rsid w:val="00C92E49"/>
    <w:rsid w:val="00CA281D"/>
    <w:rsid w:val="00CA5851"/>
    <w:rsid w:val="00CB3401"/>
    <w:rsid w:val="00CC1E99"/>
    <w:rsid w:val="00CD2911"/>
    <w:rsid w:val="00CD3D23"/>
    <w:rsid w:val="00CD6AD4"/>
    <w:rsid w:val="00CE6BA1"/>
    <w:rsid w:val="00CF0210"/>
    <w:rsid w:val="00CF07B4"/>
    <w:rsid w:val="00CF0A72"/>
    <w:rsid w:val="00CF3DA4"/>
    <w:rsid w:val="00D00078"/>
    <w:rsid w:val="00D10752"/>
    <w:rsid w:val="00D15B86"/>
    <w:rsid w:val="00D24B13"/>
    <w:rsid w:val="00D302BF"/>
    <w:rsid w:val="00D30ACD"/>
    <w:rsid w:val="00D34B2B"/>
    <w:rsid w:val="00D361E3"/>
    <w:rsid w:val="00D364C8"/>
    <w:rsid w:val="00D42F44"/>
    <w:rsid w:val="00D44088"/>
    <w:rsid w:val="00D503B1"/>
    <w:rsid w:val="00D67BBA"/>
    <w:rsid w:val="00D72C56"/>
    <w:rsid w:val="00D8734C"/>
    <w:rsid w:val="00D949A6"/>
    <w:rsid w:val="00D9791F"/>
    <w:rsid w:val="00DA11F3"/>
    <w:rsid w:val="00DA218C"/>
    <w:rsid w:val="00DA3B16"/>
    <w:rsid w:val="00DB7AA1"/>
    <w:rsid w:val="00DC01EC"/>
    <w:rsid w:val="00DC04F4"/>
    <w:rsid w:val="00DC0C32"/>
    <w:rsid w:val="00DC25AC"/>
    <w:rsid w:val="00DC431F"/>
    <w:rsid w:val="00DC4884"/>
    <w:rsid w:val="00DC7210"/>
    <w:rsid w:val="00DC7C44"/>
    <w:rsid w:val="00E00703"/>
    <w:rsid w:val="00E100D1"/>
    <w:rsid w:val="00E15F5D"/>
    <w:rsid w:val="00E278BB"/>
    <w:rsid w:val="00E308C9"/>
    <w:rsid w:val="00E3256E"/>
    <w:rsid w:val="00E42013"/>
    <w:rsid w:val="00E425FE"/>
    <w:rsid w:val="00E5047B"/>
    <w:rsid w:val="00E55325"/>
    <w:rsid w:val="00E674B1"/>
    <w:rsid w:val="00E75AC8"/>
    <w:rsid w:val="00E77715"/>
    <w:rsid w:val="00E87E8E"/>
    <w:rsid w:val="00E93DF3"/>
    <w:rsid w:val="00EA2020"/>
    <w:rsid w:val="00EA6C09"/>
    <w:rsid w:val="00EB3827"/>
    <w:rsid w:val="00EB63AD"/>
    <w:rsid w:val="00EC24A2"/>
    <w:rsid w:val="00EC48FA"/>
    <w:rsid w:val="00EC4DFE"/>
    <w:rsid w:val="00ED2A1C"/>
    <w:rsid w:val="00ED3505"/>
    <w:rsid w:val="00ED39FC"/>
    <w:rsid w:val="00F04615"/>
    <w:rsid w:val="00F06989"/>
    <w:rsid w:val="00F13401"/>
    <w:rsid w:val="00F15378"/>
    <w:rsid w:val="00F20DCC"/>
    <w:rsid w:val="00F245EE"/>
    <w:rsid w:val="00F25B3B"/>
    <w:rsid w:val="00F26246"/>
    <w:rsid w:val="00F3215D"/>
    <w:rsid w:val="00F32EDA"/>
    <w:rsid w:val="00F46318"/>
    <w:rsid w:val="00F47D6D"/>
    <w:rsid w:val="00F52A15"/>
    <w:rsid w:val="00F647EB"/>
    <w:rsid w:val="00F730E2"/>
    <w:rsid w:val="00F74ABD"/>
    <w:rsid w:val="00F80682"/>
    <w:rsid w:val="00F83A43"/>
    <w:rsid w:val="00F87539"/>
    <w:rsid w:val="00F90595"/>
    <w:rsid w:val="00F920AA"/>
    <w:rsid w:val="00F96F67"/>
    <w:rsid w:val="00FA50D3"/>
    <w:rsid w:val="00FB017F"/>
    <w:rsid w:val="00FB112C"/>
    <w:rsid w:val="00FC74C9"/>
    <w:rsid w:val="00FC7D5B"/>
    <w:rsid w:val="00FD1BC4"/>
    <w:rsid w:val="00FE2113"/>
    <w:rsid w:val="00FE5196"/>
    <w:rsid w:val="00FE54C5"/>
    <w:rsid w:val="00FF0029"/>
    <w:rsid w:val="00FF199D"/>
    <w:rsid w:val="00FF5746"/>
    <w:rsid w:val="00FF69B5"/>
    <w:rsid w:val="00FF6DCF"/>
    <w:rsid w:val="00FF6F2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v:textbox inset="5.85pt,.7pt,5.85pt,.7pt"/>
    </o:shapedefaults>
    <o:shapelayout v:ext="edit">
      <o:idmap v:ext="edit" data="1"/>
    </o:shapelayout>
  </w:shapeDefaults>
  <w:decimalSymbol w:val="."/>
  <w:listSeparator w:val=","/>
  <w14:docId w14:val="34311C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Normal (Web)" w:uiPriority="99"/>
  </w:latentStyles>
  <w:style w:type="paragraph" w:default="1" w:styleId="Normal">
    <w:name w:val="Normal"/>
    <w:qFormat/>
    <w:rsid w:val="00FE54C5"/>
    <w:pPr>
      <w:spacing w:before="120"/>
      <w:jc w:val="both"/>
    </w:pPr>
    <w:rPr>
      <w:sz w:val="24"/>
      <w:lang w:eastAsia="en-US"/>
    </w:rPr>
  </w:style>
  <w:style w:type="paragraph" w:styleId="Heading1">
    <w:name w:val="heading 1"/>
    <w:basedOn w:val="Normal"/>
    <w:next w:val="Normal"/>
    <w:link w:val="Heading1Char"/>
    <w:autoRedefine/>
    <w:qFormat/>
    <w:rsid w:val="004B5953"/>
    <w:pPr>
      <w:keepNext/>
      <w:numPr>
        <w:numId w:val="4"/>
      </w:numPr>
      <w:spacing w:before="240" w:after="60"/>
      <w:outlineLvl w:val="0"/>
    </w:pPr>
    <w:rPr>
      <w:rFonts w:ascii="Arial" w:hAnsi="Arial"/>
      <w:b/>
      <w:kern w:val="28"/>
      <w:sz w:val="28"/>
    </w:rPr>
  </w:style>
  <w:style w:type="paragraph" w:styleId="Heading2">
    <w:name w:val="heading 2"/>
    <w:basedOn w:val="Normal"/>
    <w:next w:val="Normal"/>
    <w:link w:val="Heading2Char"/>
    <w:qFormat/>
    <w:pPr>
      <w:keepNext/>
      <w:numPr>
        <w:ilvl w:val="1"/>
        <w:numId w:val="4"/>
      </w:numPr>
      <w:spacing w:before="240" w:after="60"/>
      <w:outlineLvl w:val="1"/>
    </w:pPr>
    <w:rPr>
      <w:rFonts w:ascii="Arial" w:hAnsi="Arial"/>
      <w:b/>
      <w:sz w:val="26"/>
    </w:rPr>
  </w:style>
  <w:style w:type="paragraph" w:styleId="Heading3">
    <w:name w:val="heading 3"/>
    <w:basedOn w:val="Normal"/>
    <w:next w:val="Normal"/>
    <w:link w:val="Heading3Char"/>
    <w:autoRedefine/>
    <w:qFormat/>
    <w:rsid w:val="003F475F"/>
    <w:pPr>
      <w:keepNext/>
      <w:numPr>
        <w:ilvl w:val="2"/>
        <w:numId w:val="4"/>
      </w:numPr>
      <w:spacing w:before="240" w:after="60"/>
      <w:outlineLvl w:val="2"/>
    </w:pPr>
    <w:rPr>
      <w:rFonts w:ascii="Arial" w:hAnsi="Arial"/>
      <w:b/>
    </w:rPr>
  </w:style>
  <w:style w:type="paragraph" w:styleId="Heading4">
    <w:name w:val="heading 4"/>
    <w:basedOn w:val="Normal"/>
    <w:next w:val="Normal"/>
    <w:autoRedefine/>
    <w:qFormat/>
    <w:pPr>
      <w:keepNext/>
      <w:numPr>
        <w:ilvl w:val="3"/>
        <w:numId w:val="4"/>
      </w:numPr>
      <w:spacing w:before="240" w:after="60"/>
      <w:outlineLvl w:val="3"/>
    </w:pPr>
    <w:rPr>
      <w:rFonts w:ascii="Arial" w:hAnsi="Arial"/>
      <w:b/>
    </w:rPr>
  </w:style>
  <w:style w:type="paragraph" w:styleId="Heading5">
    <w:name w:val="heading 5"/>
    <w:basedOn w:val="Normal"/>
    <w:next w:val="Normal"/>
    <w:qFormat/>
    <w:pPr>
      <w:keepNext/>
      <w:numPr>
        <w:ilvl w:val="4"/>
        <w:numId w:val="4"/>
      </w:numPr>
      <w:outlineLvl w:val="4"/>
    </w:pPr>
    <w:rPr>
      <w:b/>
    </w:rPr>
  </w:style>
  <w:style w:type="paragraph" w:styleId="Heading6">
    <w:name w:val="heading 6"/>
    <w:basedOn w:val="Normal"/>
    <w:next w:val="Normal"/>
    <w:qFormat/>
    <w:pPr>
      <w:numPr>
        <w:ilvl w:val="5"/>
        <w:numId w:val="4"/>
      </w:numPr>
      <w:spacing w:before="240" w:after="60"/>
      <w:outlineLvl w:val="5"/>
    </w:pPr>
    <w:rPr>
      <w:i/>
      <w:sz w:val="22"/>
    </w:rPr>
  </w:style>
  <w:style w:type="paragraph" w:styleId="Heading7">
    <w:name w:val="heading 7"/>
    <w:basedOn w:val="Normal"/>
    <w:next w:val="Normal"/>
    <w:qFormat/>
    <w:pPr>
      <w:numPr>
        <w:ilvl w:val="6"/>
        <w:numId w:val="4"/>
      </w:numPr>
      <w:spacing w:before="240" w:after="60"/>
      <w:outlineLvl w:val="6"/>
    </w:pPr>
    <w:rPr>
      <w:rFonts w:ascii="Arial" w:hAnsi="Arial"/>
      <w:sz w:val="20"/>
    </w:rPr>
  </w:style>
  <w:style w:type="paragraph" w:styleId="Heading8">
    <w:name w:val="heading 8"/>
    <w:basedOn w:val="Normal"/>
    <w:next w:val="Normal"/>
    <w:qFormat/>
    <w:pPr>
      <w:numPr>
        <w:ilvl w:val="7"/>
        <w:numId w:val="4"/>
      </w:numPr>
      <w:spacing w:before="240" w:after="60"/>
      <w:outlineLvl w:val="7"/>
    </w:pPr>
    <w:rPr>
      <w:rFonts w:ascii="Arial" w:hAnsi="Arial"/>
      <w:i/>
      <w:sz w:val="20"/>
    </w:rPr>
  </w:style>
  <w:style w:type="paragraph" w:styleId="Heading9">
    <w:name w:val="heading 9"/>
    <w:basedOn w:val="Normal"/>
    <w:next w:val="Normal"/>
    <w:qFormat/>
    <w:pPr>
      <w:numPr>
        <w:ilvl w:val="8"/>
        <w:numId w:val="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lang w:eastAsia="en-US"/>
    </w:rPr>
  </w:style>
  <w:style w:type="paragraph" w:styleId="ListNumber">
    <w:name w:val="List Number"/>
    <w:basedOn w:val="Normal"/>
    <w:pPr>
      <w:numPr>
        <w:numId w:val="1"/>
      </w:numPr>
    </w:pPr>
  </w:style>
  <w:style w:type="paragraph" w:styleId="ListNumber2">
    <w:name w:val="List Number 2"/>
    <w:basedOn w:val="Normal"/>
  </w:style>
  <w:style w:type="paragraph" w:styleId="ListBullet">
    <w:name w:val="List Bullet"/>
    <w:basedOn w:val="Normal"/>
    <w:autoRedefine/>
    <w:pPr>
      <w:numPr>
        <w:numId w:val="3"/>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semiHidden/>
    <w:pPr>
      <w:spacing w:before="0"/>
      <w:jc w:val="left"/>
    </w:pPr>
    <w:rPr>
      <w:i/>
      <w:iCs/>
      <w:szCs w:val="24"/>
    </w:rPr>
  </w:style>
  <w:style w:type="character" w:styleId="Hyperlink">
    <w:name w:val="Hyperlink"/>
    <w:rPr>
      <w:color w:val="0000FF"/>
      <w:u w:val="single"/>
    </w:rPr>
  </w:style>
  <w:style w:type="paragraph" w:styleId="TOC1">
    <w:name w:val="toc 1"/>
    <w:basedOn w:val="Normal"/>
    <w:next w:val="Normal"/>
    <w:autoRedefine/>
    <w:semiHidden/>
    <w:pPr>
      <w:jc w:val="left"/>
    </w:pPr>
    <w:rPr>
      <w:b/>
      <w:bCs/>
      <w:i/>
      <w:iCs/>
      <w:szCs w:val="28"/>
    </w:rPr>
  </w:style>
  <w:style w:type="paragraph" w:styleId="TOC2">
    <w:name w:val="toc 2"/>
    <w:basedOn w:val="Normal"/>
    <w:next w:val="Normal"/>
    <w:autoRedefine/>
    <w:semiHidden/>
    <w:pPr>
      <w:ind w:left="240"/>
      <w:jc w:val="left"/>
    </w:pPr>
    <w:rPr>
      <w:b/>
      <w:bCs/>
      <w:szCs w:val="26"/>
    </w:rPr>
  </w:style>
  <w:style w:type="paragraph" w:styleId="TOC3">
    <w:name w:val="toc 3"/>
    <w:basedOn w:val="Normal"/>
    <w:next w:val="Normal"/>
    <w:autoRedefine/>
    <w:semiHidden/>
    <w:pPr>
      <w:spacing w:before="0"/>
      <w:ind w:left="48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customStyle="1" w:styleId="MTDisplayEquation">
    <w:name w:val="MTDisplayEquation"/>
    <w:basedOn w:val="Normal"/>
    <w:next w:val="Normal"/>
    <w:rsid w:val="004D0842"/>
    <w:pPr>
      <w:tabs>
        <w:tab w:val="center" w:pos="4800"/>
        <w:tab w:val="right" w:pos="9600"/>
      </w:tabs>
    </w:pPr>
  </w:style>
  <w:style w:type="table" w:styleId="TableGrid">
    <w:name w:val="Table Grid"/>
    <w:basedOn w:val="TableNormal"/>
    <w:rsid w:val="004D0842"/>
    <w:pPr>
      <w:spacing w:before="120"/>
      <w:jc w:val="both"/>
    </w:pPr>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EquationSection">
    <w:name w:val="MTEquationSection"/>
    <w:rsid w:val="003F475F"/>
    <w:rPr>
      <w:i/>
      <w:vanish/>
      <w:color w:val="FF0000"/>
      <w:sz w:val="36"/>
    </w:rPr>
  </w:style>
  <w:style w:type="paragraph" w:styleId="BalloonText">
    <w:name w:val="Balloon Text"/>
    <w:basedOn w:val="Normal"/>
    <w:semiHidden/>
    <w:rsid w:val="004A710A"/>
    <w:rPr>
      <w:rFonts w:ascii="Tahoma" w:hAnsi="Tahoma" w:cs="Tahoma"/>
      <w:sz w:val="16"/>
      <w:szCs w:val="16"/>
    </w:rPr>
  </w:style>
  <w:style w:type="character" w:customStyle="1" w:styleId="Heading1Char">
    <w:name w:val="Heading 1 Char"/>
    <w:link w:val="Heading1"/>
    <w:rsid w:val="004B5953"/>
    <w:rPr>
      <w:rFonts w:ascii="Arial" w:hAnsi="Arial"/>
      <w:b/>
      <w:kern w:val="28"/>
      <w:sz w:val="28"/>
      <w:lang w:eastAsia="en-US"/>
    </w:rPr>
  </w:style>
  <w:style w:type="character" w:customStyle="1" w:styleId="PlainTextChar">
    <w:name w:val="Plain Text Char"/>
    <w:link w:val="PlainText"/>
    <w:rsid w:val="003C0332"/>
    <w:rPr>
      <w:sz w:val="24"/>
      <w:lang w:eastAsia="en-US"/>
    </w:rPr>
  </w:style>
  <w:style w:type="character" w:customStyle="1" w:styleId="Heading2Char">
    <w:name w:val="Heading 2 Char"/>
    <w:link w:val="Heading2"/>
    <w:rsid w:val="0066485E"/>
    <w:rPr>
      <w:rFonts w:ascii="Arial" w:hAnsi="Arial"/>
      <w:b/>
      <w:sz w:val="26"/>
      <w:lang w:eastAsia="en-US"/>
    </w:rPr>
  </w:style>
  <w:style w:type="character" w:customStyle="1" w:styleId="Heading3Char">
    <w:name w:val="Heading 3 Char"/>
    <w:link w:val="Heading3"/>
    <w:rsid w:val="001B0041"/>
    <w:rPr>
      <w:rFonts w:ascii="Arial" w:hAnsi="Arial"/>
      <w:b/>
      <w:sz w:val="24"/>
      <w:lang w:eastAsia="en-US"/>
    </w:rPr>
  </w:style>
  <w:style w:type="paragraph" w:styleId="NormalWeb">
    <w:name w:val="Normal (Web)"/>
    <w:basedOn w:val="Normal"/>
    <w:uiPriority w:val="99"/>
    <w:unhideWhenUsed/>
    <w:rsid w:val="001217EF"/>
    <w:pPr>
      <w:spacing w:before="100" w:beforeAutospacing="1" w:after="100" w:afterAutospacing="1"/>
      <w:jc w:val="left"/>
    </w:pPr>
    <w:rPr>
      <w:rFonts w:ascii="Times" w:eastAsia="ＭＳ 明朝" w:hAnsi="Times"/>
      <w:sz w:val="20"/>
      <w:lang w:eastAsia="ja-JP"/>
    </w:rPr>
  </w:style>
  <w:style w:type="character" w:styleId="PlaceholderText">
    <w:name w:val="Placeholder Text"/>
    <w:basedOn w:val="DefaultParagraphFont"/>
    <w:rsid w:val="006F1553"/>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Normal (Web)" w:uiPriority="99"/>
  </w:latentStyles>
  <w:style w:type="paragraph" w:default="1" w:styleId="Normal">
    <w:name w:val="Normal"/>
    <w:qFormat/>
    <w:rsid w:val="00FE54C5"/>
    <w:pPr>
      <w:spacing w:before="120"/>
      <w:jc w:val="both"/>
    </w:pPr>
    <w:rPr>
      <w:sz w:val="24"/>
      <w:lang w:eastAsia="en-US"/>
    </w:rPr>
  </w:style>
  <w:style w:type="paragraph" w:styleId="Heading1">
    <w:name w:val="heading 1"/>
    <w:basedOn w:val="Normal"/>
    <w:next w:val="Normal"/>
    <w:link w:val="Heading1Char"/>
    <w:autoRedefine/>
    <w:qFormat/>
    <w:rsid w:val="004B5953"/>
    <w:pPr>
      <w:keepNext/>
      <w:numPr>
        <w:numId w:val="4"/>
      </w:numPr>
      <w:spacing w:before="240" w:after="60"/>
      <w:outlineLvl w:val="0"/>
    </w:pPr>
    <w:rPr>
      <w:rFonts w:ascii="Arial" w:hAnsi="Arial"/>
      <w:b/>
      <w:kern w:val="28"/>
      <w:sz w:val="28"/>
    </w:rPr>
  </w:style>
  <w:style w:type="paragraph" w:styleId="Heading2">
    <w:name w:val="heading 2"/>
    <w:basedOn w:val="Normal"/>
    <w:next w:val="Normal"/>
    <w:link w:val="Heading2Char"/>
    <w:qFormat/>
    <w:pPr>
      <w:keepNext/>
      <w:numPr>
        <w:ilvl w:val="1"/>
        <w:numId w:val="4"/>
      </w:numPr>
      <w:spacing w:before="240" w:after="60"/>
      <w:outlineLvl w:val="1"/>
    </w:pPr>
    <w:rPr>
      <w:rFonts w:ascii="Arial" w:hAnsi="Arial"/>
      <w:b/>
      <w:sz w:val="26"/>
    </w:rPr>
  </w:style>
  <w:style w:type="paragraph" w:styleId="Heading3">
    <w:name w:val="heading 3"/>
    <w:basedOn w:val="Normal"/>
    <w:next w:val="Normal"/>
    <w:link w:val="Heading3Char"/>
    <w:autoRedefine/>
    <w:qFormat/>
    <w:rsid w:val="003F475F"/>
    <w:pPr>
      <w:keepNext/>
      <w:numPr>
        <w:ilvl w:val="2"/>
        <w:numId w:val="4"/>
      </w:numPr>
      <w:spacing w:before="240" w:after="60"/>
      <w:outlineLvl w:val="2"/>
    </w:pPr>
    <w:rPr>
      <w:rFonts w:ascii="Arial" w:hAnsi="Arial"/>
      <w:b/>
    </w:rPr>
  </w:style>
  <w:style w:type="paragraph" w:styleId="Heading4">
    <w:name w:val="heading 4"/>
    <w:basedOn w:val="Normal"/>
    <w:next w:val="Normal"/>
    <w:autoRedefine/>
    <w:qFormat/>
    <w:pPr>
      <w:keepNext/>
      <w:numPr>
        <w:ilvl w:val="3"/>
        <w:numId w:val="4"/>
      </w:numPr>
      <w:spacing w:before="240" w:after="60"/>
      <w:outlineLvl w:val="3"/>
    </w:pPr>
    <w:rPr>
      <w:rFonts w:ascii="Arial" w:hAnsi="Arial"/>
      <w:b/>
    </w:rPr>
  </w:style>
  <w:style w:type="paragraph" w:styleId="Heading5">
    <w:name w:val="heading 5"/>
    <w:basedOn w:val="Normal"/>
    <w:next w:val="Normal"/>
    <w:qFormat/>
    <w:pPr>
      <w:keepNext/>
      <w:numPr>
        <w:ilvl w:val="4"/>
        <w:numId w:val="4"/>
      </w:numPr>
      <w:outlineLvl w:val="4"/>
    </w:pPr>
    <w:rPr>
      <w:b/>
    </w:rPr>
  </w:style>
  <w:style w:type="paragraph" w:styleId="Heading6">
    <w:name w:val="heading 6"/>
    <w:basedOn w:val="Normal"/>
    <w:next w:val="Normal"/>
    <w:qFormat/>
    <w:pPr>
      <w:numPr>
        <w:ilvl w:val="5"/>
        <w:numId w:val="4"/>
      </w:numPr>
      <w:spacing w:before="240" w:after="60"/>
      <w:outlineLvl w:val="5"/>
    </w:pPr>
    <w:rPr>
      <w:i/>
      <w:sz w:val="22"/>
    </w:rPr>
  </w:style>
  <w:style w:type="paragraph" w:styleId="Heading7">
    <w:name w:val="heading 7"/>
    <w:basedOn w:val="Normal"/>
    <w:next w:val="Normal"/>
    <w:qFormat/>
    <w:pPr>
      <w:numPr>
        <w:ilvl w:val="6"/>
        <w:numId w:val="4"/>
      </w:numPr>
      <w:spacing w:before="240" w:after="60"/>
      <w:outlineLvl w:val="6"/>
    </w:pPr>
    <w:rPr>
      <w:rFonts w:ascii="Arial" w:hAnsi="Arial"/>
      <w:sz w:val="20"/>
    </w:rPr>
  </w:style>
  <w:style w:type="paragraph" w:styleId="Heading8">
    <w:name w:val="heading 8"/>
    <w:basedOn w:val="Normal"/>
    <w:next w:val="Normal"/>
    <w:qFormat/>
    <w:pPr>
      <w:numPr>
        <w:ilvl w:val="7"/>
        <w:numId w:val="4"/>
      </w:numPr>
      <w:spacing w:before="240" w:after="60"/>
      <w:outlineLvl w:val="7"/>
    </w:pPr>
    <w:rPr>
      <w:rFonts w:ascii="Arial" w:hAnsi="Arial"/>
      <w:i/>
      <w:sz w:val="20"/>
    </w:rPr>
  </w:style>
  <w:style w:type="paragraph" w:styleId="Heading9">
    <w:name w:val="heading 9"/>
    <w:basedOn w:val="Normal"/>
    <w:next w:val="Normal"/>
    <w:qFormat/>
    <w:pPr>
      <w:numPr>
        <w:ilvl w:val="8"/>
        <w:numId w:val="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lang w:eastAsia="en-US"/>
    </w:rPr>
  </w:style>
  <w:style w:type="paragraph" w:styleId="ListNumber">
    <w:name w:val="List Number"/>
    <w:basedOn w:val="Normal"/>
    <w:pPr>
      <w:numPr>
        <w:numId w:val="1"/>
      </w:numPr>
    </w:pPr>
  </w:style>
  <w:style w:type="paragraph" w:styleId="ListNumber2">
    <w:name w:val="List Number 2"/>
    <w:basedOn w:val="Normal"/>
  </w:style>
  <w:style w:type="paragraph" w:styleId="ListBullet">
    <w:name w:val="List Bullet"/>
    <w:basedOn w:val="Normal"/>
    <w:autoRedefine/>
    <w:pPr>
      <w:numPr>
        <w:numId w:val="3"/>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semiHidden/>
    <w:pPr>
      <w:spacing w:before="0"/>
      <w:jc w:val="left"/>
    </w:pPr>
    <w:rPr>
      <w:i/>
      <w:iCs/>
      <w:szCs w:val="24"/>
    </w:rPr>
  </w:style>
  <w:style w:type="character" w:styleId="Hyperlink">
    <w:name w:val="Hyperlink"/>
    <w:rPr>
      <w:color w:val="0000FF"/>
      <w:u w:val="single"/>
    </w:rPr>
  </w:style>
  <w:style w:type="paragraph" w:styleId="TOC1">
    <w:name w:val="toc 1"/>
    <w:basedOn w:val="Normal"/>
    <w:next w:val="Normal"/>
    <w:autoRedefine/>
    <w:semiHidden/>
    <w:pPr>
      <w:jc w:val="left"/>
    </w:pPr>
    <w:rPr>
      <w:b/>
      <w:bCs/>
      <w:i/>
      <w:iCs/>
      <w:szCs w:val="28"/>
    </w:rPr>
  </w:style>
  <w:style w:type="paragraph" w:styleId="TOC2">
    <w:name w:val="toc 2"/>
    <w:basedOn w:val="Normal"/>
    <w:next w:val="Normal"/>
    <w:autoRedefine/>
    <w:semiHidden/>
    <w:pPr>
      <w:ind w:left="240"/>
      <w:jc w:val="left"/>
    </w:pPr>
    <w:rPr>
      <w:b/>
      <w:bCs/>
      <w:szCs w:val="26"/>
    </w:rPr>
  </w:style>
  <w:style w:type="paragraph" w:styleId="TOC3">
    <w:name w:val="toc 3"/>
    <w:basedOn w:val="Normal"/>
    <w:next w:val="Normal"/>
    <w:autoRedefine/>
    <w:semiHidden/>
    <w:pPr>
      <w:spacing w:before="0"/>
      <w:ind w:left="48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customStyle="1" w:styleId="MTDisplayEquation">
    <w:name w:val="MTDisplayEquation"/>
    <w:basedOn w:val="Normal"/>
    <w:next w:val="Normal"/>
    <w:rsid w:val="004D0842"/>
    <w:pPr>
      <w:tabs>
        <w:tab w:val="center" w:pos="4800"/>
        <w:tab w:val="right" w:pos="9600"/>
      </w:tabs>
    </w:pPr>
  </w:style>
  <w:style w:type="table" w:styleId="TableGrid">
    <w:name w:val="Table Grid"/>
    <w:basedOn w:val="TableNormal"/>
    <w:rsid w:val="004D0842"/>
    <w:pPr>
      <w:spacing w:before="120"/>
      <w:jc w:val="both"/>
    </w:pPr>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EquationSection">
    <w:name w:val="MTEquationSection"/>
    <w:rsid w:val="003F475F"/>
    <w:rPr>
      <w:i/>
      <w:vanish/>
      <w:color w:val="FF0000"/>
      <w:sz w:val="36"/>
    </w:rPr>
  </w:style>
  <w:style w:type="paragraph" w:styleId="BalloonText">
    <w:name w:val="Balloon Text"/>
    <w:basedOn w:val="Normal"/>
    <w:semiHidden/>
    <w:rsid w:val="004A710A"/>
    <w:rPr>
      <w:rFonts w:ascii="Tahoma" w:hAnsi="Tahoma" w:cs="Tahoma"/>
      <w:sz w:val="16"/>
      <w:szCs w:val="16"/>
    </w:rPr>
  </w:style>
  <w:style w:type="character" w:customStyle="1" w:styleId="Heading1Char">
    <w:name w:val="Heading 1 Char"/>
    <w:link w:val="Heading1"/>
    <w:rsid w:val="004B5953"/>
    <w:rPr>
      <w:rFonts w:ascii="Arial" w:hAnsi="Arial"/>
      <w:b/>
      <w:kern w:val="28"/>
      <w:sz w:val="28"/>
      <w:lang w:eastAsia="en-US"/>
    </w:rPr>
  </w:style>
  <w:style w:type="character" w:customStyle="1" w:styleId="PlainTextChar">
    <w:name w:val="Plain Text Char"/>
    <w:link w:val="PlainText"/>
    <w:rsid w:val="003C0332"/>
    <w:rPr>
      <w:sz w:val="24"/>
      <w:lang w:eastAsia="en-US"/>
    </w:rPr>
  </w:style>
  <w:style w:type="character" w:customStyle="1" w:styleId="Heading2Char">
    <w:name w:val="Heading 2 Char"/>
    <w:link w:val="Heading2"/>
    <w:rsid w:val="0066485E"/>
    <w:rPr>
      <w:rFonts w:ascii="Arial" w:hAnsi="Arial"/>
      <w:b/>
      <w:sz w:val="26"/>
      <w:lang w:eastAsia="en-US"/>
    </w:rPr>
  </w:style>
  <w:style w:type="character" w:customStyle="1" w:styleId="Heading3Char">
    <w:name w:val="Heading 3 Char"/>
    <w:link w:val="Heading3"/>
    <w:rsid w:val="001B0041"/>
    <w:rPr>
      <w:rFonts w:ascii="Arial" w:hAnsi="Arial"/>
      <w:b/>
      <w:sz w:val="24"/>
      <w:lang w:eastAsia="en-US"/>
    </w:rPr>
  </w:style>
  <w:style w:type="paragraph" w:styleId="NormalWeb">
    <w:name w:val="Normal (Web)"/>
    <w:basedOn w:val="Normal"/>
    <w:uiPriority w:val="99"/>
    <w:unhideWhenUsed/>
    <w:rsid w:val="001217EF"/>
    <w:pPr>
      <w:spacing w:before="100" w:beforeAutospacing="1" w:after="100" w:afterAutospacing="1"/>
      <w:jc w:val="left"/>
    </w:pPr>
    <w:rPr>
      <w:rFonts w:ascii="Times" w:eastAsia="ＭＳ 明朝" w:hAnsi="Times"/>
      <w:sz w:val="20"/>
      <w:lang w:eastAsia="ja-JP"/>
    </w:rPr>
  </w:style>
  <w:style w:type="character" w:styleId="PlaceholderText">
    <w:name w:val="Placeholder Text"/>
    <w:basedOn w:val="DefaultParagraphFont"/>
    <w:rsid w:val="006F155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902472">
      <w:bodyDiv w:val="1"/>
      <w:marLeft w:val="0"/>
      <w:marRight w:val="0"/>
      <w:marTop w:val="0"/>
      <w:marBottom w:val="0"/>
      <w:divBdr>
        <w:top w:val="none" w:sz="0" w:space="0" w:color="auto"/>
        <w:left w:val="none" w:sz="0" w:space="0" w:color="auto"/>
        <w:bottom w:val="none" w:sz="0" w:space="0" w:color="auto"/>
        <w:right w:val="none" w:sz="0" w:space="0" w:color="auto"/>
      </w:divBdr>
    </w:div>
    <w:div w:id="175088546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footer" Target="footer2.xml"/><Relationship Id="rId21" Type="http://schemas.openxmlformats.org/officeDocument/2006/relationships/header" Target="head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oleObject" Target="embeddings/oleObject1.bin"/><Relationship Id="rId16" Type="http://schemas.openxmlformats.org/officeDocument/2006/relationships/image" Target="media/image7.emf"/><Relationship Id="rId17" Type="http://schemas.openxmlformats.org/officeDocument/2006/relationships/image" Target="media/image8.emf"/><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39508-63DF-ED42-B4DA-C3FBF8F5D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1915</TotalTime>
  <Pages>9</Pages>
  <Words>1214</Words>
  <Characters>6921</Characters>
  <Application>Microsoft Macintosh Word</Application>
  <DocSecurity>0</DocSecurity>
  <Lines>57</Lines>
  <Paragraphs>16</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Laser Interferometer Gravitational Wave Observatory</vt:lpstr>
      <vt:lpstr>Introduction</vt:lpstr>
      <vt:lpstr>Mirror profiles</vt:lpstr>
      <vt:lpstr>Simulation setup</vt:lpstr>
      <vt:lpstr>Effects of the phasemaps on the IFO performance</vt:lpstr>
    </vt:vector>
  </TitlesOfParts>
  <Company>Caltech</Company>
  <LinksUpToDate>false</LinksUpToDate>
  <CharactersWithSpaces>8119</CharactersWithSpaces>
  <SharedDoc>false</SharedDoc>
  <HLinks>
    <vt:vector size="42" baseType="variant">
      <vt:variant>
        <vt:i4>5963902</vt:i4>
      </vt:variant>
      <vt:variant>
        <vt:i4>3535</vt:i4>
      </vt:variant>
      <vt:variant>
        <vt:i4>1027</vt:i4>
      </vt:variant>
      <vt:variant>
        <vt:i4>1</vt:i4>
      </vt:variant>
      <vt:variant>
        <vt:lpwstr>ETMmaps2D</vt:lpwstr>
      </vt:variant>
      <vt:variant>
        <vt:lpwstr/>
      </vt:variant>
      <vt:variant>
        <vt:i4>5767294</vt:i4>
      </vt:variant>
      <vt:variant>
        <vt:i4>4761</vt:i4>
      </vt:variant>
      <vt:variant>
        <vt:i4>1028</vt:i4>
      </vt:variant>
      <vt:variant>
        <vt:i4>1</vt:i4>
      </vt:variant>
      <vt:variant>
        <vt:lpwstr>ETMmaps1D</vt:lpwstr>
      </vt:variant>
      <vt:variant>
        <vt:lpwstr/>
      </vt:variant>
      <vt:variant>
        <vt:i4>6291464</vt:i4>
      </vt:variant>
      <vt:variant>
        <vt:i4>5010</vt:i4>
      </vt:variant>
      <vt:variant>
        <vt:i4>1029</vt:i4>
      </vt:variant>
      <vt:variant>
        <vt:i4>1</vt:i4>
      </vt:variant>
      <vt:variant>
        <vt:lpwstr>ETMPSDs</vt:lpwstr>
      </vt:variant>
      <vt:variant>
        <vt:lpwstr/>
      </vt:variant>
      <vt:variant>
        <vt:i4>4194352</vt:i4>
      </vt:variant>
      <vt:variant>
        <vt:i4>5617</vt:i4>
      </vt:variant>
      <vt:variant>
        <vt:i4>1031</vt:i4>
      </vt:variant>
      <vt:variant>
        <vt:i4>1</vt:i4>
      </vt:variant>
      <vt:variant>
        <vt:lpwstr>ETMPSDwithx10data</vt:lpwstr>
      </vt:variant>
      <vt:variant>
        <vt:lpwstr/>
      </vt:variant>
      <vt:variant>
        <vt:i4>8192064</vt:i4>
      </vt:variant>
      <vt:variant>
        <vt:i4>7674</vt:i4>
      </vt:variant>
      <vt:variant>
        <vt:i4>1030</vt:i4>
      </vt:variant>
      <vt:variant>
        <vt:i4>1</vt:i4>
      </vt:variant>
      <vt:variant>
        <vt:lpwstr>PSDround8mm</vt:lpwstr>
      </vt:variant>
      <vt:variant>
        <vt:lpwstr/>
      </vt:variant>
      <vt:variant>
        <vt:i4>65638</vt:i4>
      </vt:variant>
      <vt:variant>
        <vt:i4>7739</vt:i4>
      </vt:variant>
      <vt:variant>
        <vt:i4>1032</vt:i4>
      </vt:variant>
      <vt:variant>
        <vt:i4>1</vt:i4>
      </vt:variant>
      <vt:variant>
        <vt:lpwstr>PSDdiffInPair</vt:lpwstr>
      </vt:variant>
      <vt:variant>
        <vt:lpwstr/>
      </vt:variant>
      <vt:variant>
        <vt:i4>6357103</vt:i4>
      </vt:variant>
      <vt:variant>
        <vt:i4>8671</vt:i4>
      </vt:variant>
      <vt:variant>
        <vt:i4>1033</vt:i4>
      </vt:variant>
      <vt:variant>
        <vt:i4>1</vt:i4>
      </vt:variant>
      <vt:variant>
        <vt:lpwstr>powerOnITM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Dennis Coyne</dc:creator>
  <cp:keywords/>
  <dc:description/>
  <cp:lastModifiedBy>Hiroaki Yamamoto</cp:lastModifiedBy>
  <cp:revision>14</cp:revision>
  <cp:lastPrinted>2015-04-07T10:02:00Z</cp:lastPrinted>
  <dcterms:created xsi:type="dcterms:W3CDTF">2012-10-07T06:22:00Z</dcterms:created>
  <dcterms:modified xsi:type="dcterms:W3CDTF">2015-04-07T10:03:00Z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y fmtid="{D5CDD505-2E9C-101B-9397-08002B2CF9AE}" pid="3" name="MTEquationSection">
    <vt:lpwstr>1</vt:lpwstr>
  </property>
  <property fmtid="{D5CDD505-2E9C-101B-9397-08002B2CF9AE}" pid="4" name="MTEquationNumber2">
    <vt:lpwstr>(#E1)</vt:lpwstr>
  </property>
  <property fmtid="{D5CDD505-2E9C-101B-9397-08002B2CF9AE}" pid="5" name="MTDeferFieldUpdate">
    <vt:lpwstr>1</vt:lpwstr>
  </property>
</Properties>
</file>