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media/image140.jpeg" ContentType="image/jpeg"/>
  <Override PartName="/word/media/image156.jpeg" ContentType="image/jpeg"/>
  <Override PartName="/word/media/image141.png" ContentType="image/png"/>
  <Override PartName="/word/media/image142.jpeg" ContentType="image/jpeg"/>
  <Override PartName="/word/media/image158.jpeg" ContentType="image/jpeg"/>
  <Override PartName="/word/media/image143.png" ContentType="image/png"/>
  <Override PartName="/word/media/image144.jpeg" ContentType="image/jpeg"/>
  <Override PartName="/word/media/image163.png" ContentType="image/png"/>
  <Override PartName="/word/media/image134.jpeg" ContentType="image/jpeg"/>
  <Override PartName="/word/media/image161.jpeg" ContentType="image/jpeg"/>
  <Override PartName="/word/media/image147.png" ContentType="image/png"/>
  <Override PartName="/word/media/image165.png" ContentType="image/png"/>
  <Override PartName="/word/media/image151.jpeg" ContentType="image/jpeg"/>
  <Override PartName="/word/media/image145.wmf" ContentType="image/x-wmf"/>
  <Override PartName="/word/media/image136.jpeg" ContentType="image/jpeg"/>
  <Override PartName="/word/media/image148.jpeg" ContentType="image/jpeg"/>
  <Override PartName="/word/media/image138.jpeg" ContentType="image/jpeg"/>
  <Override PartName="/word/media/image155.jpeg" ContentType="image/jpeg"/>
  <Override PartName="/word/media/image157.jpeg" ContentType="image/jpeg"/>
  <Override PartName="/word/media/image160.png" ContentType="image/png"/>
  <Override PartName="/word/media/image135.png" ContentType="image/png"/>
  <Override PartName="/word/media/image159.jpeg" ContentType="image/jpeg"/>
  <Override PartName="/word/media/image153.png" ContentType="image/png"/>
  <Override PartName="/word/media/image133.jpeg" ContentType="image/jpeg"/>
  <Override PartName="/word/media/image162.png" ContentType="image/png"/>
  <Override PartName="/word/media/image137.png" ContentType="image/png"/>
  <Override PartName="/word/media/image150.jpeg" ContentType="image/jpeg"/>
  <Override PartName="/word/media/image164.png" ContentType="image/png"/>
  <Override PartName="/word/media/image139.png" ContentType="image/png"/>
  <Override PartName="/word/media/image146.wmf" ContentType="image/x-wmf"/>
  <Override PartName="/word/media/image152.jpeg" ContentType="image/jpeg"/>
  <Override PartName="/word/media/image154.jpeg" ContentType="image/jpeg"/>
  <Override PartName="/word/media/image149.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tabs>
          <w:tab w:leader="none" w:pos="6105" w:val="left"/>
        </w:tabs>
      </w:pPr>
      <w:r>
        <w:rPr/>
        <w:pict>
          <v:rect id="shape_0" style="position:absolute;margin-left:0pt;margin-top:0pt;width:480.05pt;height:1.45pt">
            <v:wrap v:type="none"/>
            <v:fill color="gray" color2="#7f7f7f" detectmouseclick="t" type="solid"/>
            <v:stroke color="gray" joinstyle="round"/>
          </v:rect>
        </w:pict>
        <w:pict>
          <v:rect id="shape_0" style="position:absolute;margin-left:0pt;margin-top:0pt;width:480.05pt;height:1.45pt">
            <v:wrap v:type="none"/>
            <v:fill color="gray" color2="#7f7f7f" detectmouseclick="t" type="solid"/>
            <v:stroke color="gray" joinstyle="round"/>
          </v:rect>
        </w:pict>
        <w:pict/>
        <w:pict/>
        <w:pict/>
        <w:pict/>
        <w:pict/>
        <w:pict/>
        <w:pict/>
        <w:pict/>
        <w:pict/>
        <w:pict/>
        <w:pict/>
      </w:r>
    </w:p>
    <w:p>
      <w:pPr>
        <w:pStyle w:val="style0"/>
        <w:jc w:val="center"/>
      </w:pPr>
      <w:r>
        <w:rPr/>
      </w:r>
    </w:p>
    <w:p>
      <w:pPr>
        <w:pStyle w:val="style0"/>
        <w:jc w:val="center"/>
      </w:pPr>
      <w:r>
        <w:rPr/>
      </w:r>
    </w:p>
    <w:p>
      <w:pPr>
        <w:pStyle w:val="style0"/>
        <w:jc w:val="center"/>
      </w:pPr>
      <w:r>
        <w:rPr/>
      </w:r>
    </w:p>
    <w:p>
      <w:pPr>
        <w:pStyle w:val="style0"/>
        <w:jc w:val="center"/>
      </w:pPr>
      <w:r>
        <w:rPr/>
      </w:r>
    </w:p>
    <w:p>
      <w:pPr>
        <w:pStyle w:val="style0"/>
        <w:jc w:val="center"/>
      </w:pPr>
      <w:r>
        <w:rPr>
          <w:i/>
          <w:sz w:val="36"/>
          <w:szCs w:val="36"/>
        </w:rPr>
        <w:t>LIGO Laboratory / LIGO Scientific Collaboration</w:t>
      </w:r>
    </w:p>
    <w:p>
      <w:pPr>
        <w:pStyle w:val="style150"/>
      </w:pPr>
      <w:r>
        <w:rPr>
          <w:rFonts w:ascii="Times New Roman" w:cs="Times New Roman" w:hAnsi="Times New Roman"/>
          <w:sz w:val="36"/>
        </w:rPr>
      </w:r>
    </w:p>
    <w:p>
      <w:pPr>
        <w:pStyle w:val="style150"/>
      </w:pPr>
      <w:r>
        <w:rPr>
          <w:rFonts w:ascii="Times New Roman" w:cs="Times New Roman" w:hAnsi="Times New Roman"/>
          <w:sz w:val="36"/>
        </w:rPr>
      </w:r>
    </w:p>
    <w:p>
      <w:pPr>
        <w:pStyle w:val="style0"/>
        <w:pBdr>
          <w:top w:color="000001" w:space="0" w:sz="40" w:val="single"/>
          <w:left w:color="000001" w:space="0" w:sz="40" w:val="single"/>
          <w:bottom w:color="000001" w:space="0" w:sz="40" w:val="single"/>
          <w:right w:color="000001" w:space="0" w:sz="40" w:val="single"/>
        </w:pBdr>
        <w:tabs>
          <w:tab w:leader="none" w:pos="5040" w:val="center"/>
          <w:tab w:leader="none" w:pos="9360" w:val="right"/>
        </w:tabs>
        <w:jc w:val="center"/>
      </w:pPr>
      <w:r>
        <w:rPr/>
        <w:t>LIGO- E1300824</w:t>
        <w:tab/>
        <w:t xml:space="preserve">                 </w:t>
      </w:r>
      <w:r>
        <w:rPr>
          <w:i/>
          <w:iCs/>
          <w:color w:val="0000FF"/>
          <w:sz w:val="40"/>
        </w:rPr>
        <w:t>LIGO</w:t>
      </w:r>
      <w:r>
        <w:rPr/>
        <w:t xml:space="preserve">                   November 1st, 2013</w:t>
        <w:br/>
      </w:r>
    </w:p>
    <w:p>
      <w:pPr>
        <w:pStyle w:val="style0"/>
        <w:pBdr>
          <w:top w:color="000001" w:space="0" w:sz="40" w:val="single"/>
          <w:left w:color="000001" w:space="0" w:sz="40" w:val="single"/>
          <w:bottom w:color="000001" w:space="0" w:sz="40" w:val="single"/>
          <w:right w:color="000001" w:space="0" w:sz="40" w:val="single"/>
        </w:pBdr>
      </w:pPr>
      <w:r>
        <w:rPr/>
      </w:r>
    </w:p>
    <w:p>
      <w:pPr>
        <w:pStyle w:val="style0"/>
        <w:pBdr>
          <w:top w:color="000001" w:space="0" w:sz="40" w:val="single"/>
          <w:left w:color="000001" w:space="0" w:sz="40" w:val="single"/>
          <w:bottom w:color="000001" w:space="0" w:sz="40" w:val="single"/>
          <w:right w:color="000001" w:space="0" w:sz="40" w:val="single"/>
        </w:pBdr>
      </w:pPr>
      <w:r>
        <w:rPr/>
      </w:r>
    </w:p>
    <w:p>
      <w:pPr>
        <w:pStyle w:val="style0"/>
        <w:pBdr>
          <w:top w:color="000001" w:space="0" w:sz="40" w:val="single"/>
          <w:left w:color="000001" w:space="0" w:sz="40" w:val="single"/>
          <w:bottom w:color="000001" w:space="0" w:sz="40" w:val="single"/>
          <w:right w:color="000001" w:space="0" w:sz="40" w:val="single"/>
        </w:pBdr>
        <w:spacing w:after="240" w:before="0"/>
        <w:jc w:val="center"/>
      </w:pPr>
      <w:r>
        <w:rPr>
          <w:b/>
          <w:sz w:val="36"/>
          <w:szCs w:val="36"/>
        </w:rPr>
        <w:t>aLIGO HEPI Assembly Validation Procedure</w:t>
      </w:r>
    </w:p>
    <w:p>
      <w:pPr>
        <w:pStyle w:val="style0"/>
        <w:pBdr>
          <w:top w:color="000001" w:space="0" w:sz="40" w:val="single"/>
          <w:left w:color="000001" w:space="0" w:sz="40" w:val="single"/>
          <w:bottom w:color="000001" w:space="0" w:sz="40" w:val="single"/>
          <w:right w:color="000001" w:space="0" w:sz="40" w:val="single"/>
        </w:pBdr>
        <w:jc w:val="center"/>
      </w:pPr>
      <w:r>
        <w:rPr/>
        <w:t>E1300824</w:t>
      </w:r>
    </w:p>
    <w:p>
      <w:pPr>
        <w:pStyle w:val="style0"/>
        <w:pBdr>
          <w:top w:color="000001" w:space="0" w:sz="40" w:val="single"/>
          <w:left w:color="000001" w:space="0" w:sz="40" w:val="single"/>
          <w:bottom w:color="000001" w:space="0" w:sz="40" w:val="single"/>
          <w:right w:color="000001" w:space="0" w:sz="40" w:val="single"/>
        </w:pBdr>
      </w:pPr>
      <w:r>
        <w:rPr/>
      </w:r>
    </w:p>
    <w:p>
      <w:pPr>
        <w:pStyle w:val="style0"/>
        <w:pBdr>
          <w:top w:color="000001" w:space="0" w:sz="40" w:val="single"/>
          <w:left w:color="000001" w:space="0" w:sz="40" w:val="single"/>
          <w:bottom w:color="000001" w:space="0" w:sz="40" w:val="single"/>
          <w:right w:color="000001" w:space="0" w:sz="40" w:val="single"/>
        </w:pBdr>
        <w:jc w:val="center"/>
      </w:pPr>
      <w:r>
        <w:rPr>
          <w:lang w:val="fr-FR"/>
        </w:rPr>
        <w:t>Fabrice Matichard, Sebastien Biscans, Hugo Paris for the SEI Team</w:t>
      </w:r>
    </w:p>
    <w:p>
      <w:pPr>
        <w:pStyle w:val="style0"/>
        <w:pBdr>
          <w:top w:color="000001" w:space="0" w:sz="40" w:val="single"/>
          <w:left w:color="000001" w:space="0" w:sz="40" w:val="single"/>
          <w:bottom w:color="000001" w:space="0" w:sz="40" w:val="single"/>
          <w:right w:color="000001" w:space="0" w:sz="40" w:val="single"/>
        </w:pBdr>
      </w:pPr>
      <w:r>
        <w:rPr>
          <w:lang w:val="fr-FR"/>
        </w:rPr>
      </w:r>
    </w:p>
    <w:p>
      <w:pPr>
        <w:pStyle w:val="style150"/>
        <w:jc w:val="center"/>
      </w:pPr>
      <w:r>
        <w:rPr>
          <w:rFonts w:ascii="Times New Roman" w:cs="Times New Roman" w:hAnsi="Times New Roman"/>
          <w:lang w:val="fr-FR"/>
        </w:rPr>
      </w:r>
    </w:p>
    <w:p>
      <w:pPr>
        <w:pStyle w:val="style0"/>
        <w:jc w:val="center"/>
      </w:pPr>
      <w:r>
        <w:rPr/>
        <w:t>Distribution of this document:</w:t>
      </w:r>
    </w:p>
    <w:p>
      <w:pPr>
        <w:pStyle w:val="style0"/>
        <w:jc w:val="center"/>
      </w:pPr>
      <w:r>
        <w:rPr/>
        <w:t>Advanced LIGO Project</w:t>
      </w:r>
    </w:p>
    <w:p>
      <w:pPr>
        <w:pStyle w:val="style0"/>
        <w:jc w:val="center"/>
      </w:pPr>
      <w:r>
        <w:rPr/>
      </w:r>
    </w:p>
    <w:p>
      <w:pPr>
        <w:pStyle w:val="style0"/>
        <w:jc w:val="center"/>
      </w:pPr>
      <w:r>
        <w:rPr/>
        <w:t>This is an internal working note</w:t>
      </w:r>
    </w:p>
    <w:p>
      <w:pPr>
        <w:pStyle w:val="style0"/>
        <w:jc w:val="center"/>
      </w:pPr>
      <w:r>
        <w:rPr/>
        <w:t>of the LIGO Laboratory</w:t>
      </w:r>
    </w:p>
    <w:p>
      <w:pPr>
        <w:pStyle w:val="style0"/>
        <w:jc w:val="center"/>
      </w:pPr>
      <w:r>
        <w:rPr/>
      </w:r>
    </w:p>
    <w:p>
      <w:pPr>
        <w:pStyle w:val="style150"/>
      </w:pPr>
      <w:r>
        <w:rPr>
          <w:rFonts w:ascii="Times New Roman" w:cs="Times New Roman" w:hAnsi="Times New Roman"/>
        </w:rPr>
      </w:r>
    </w:p>
    <w:p>
      <w:pPr>
        <w:pStyle w:val="style150"/>
      </w:pPr>
      <w:r>
        <w:rPr>
          <w:rFonts w:ascii="Times New Roman" w:cs="Times New Roman" w:hAnsi="Times New Roman"/>
        </w:rPr>
      </w:r>
    </w:p>
    <w:tbl>
      <w:tblPr>
        <w:jc w:val="left"/>
        <w:tblInd w:type="dxa" w:w="-108"/>
        <w:tblBorders/>
      </w:tblPr>
      <w:tblGrid>
        <w:gridCol w:w="4909"/>
        <w:gridCol w:w="4908"/>
      </w:tblGrid>
      <w:tr>
        <w:trPr>
          <w:cantSplit w:val="false"/>
        </w:trPr>
        <w:tc>
          <w:tcPr>
            <w:tcW w:type="dxa" w:w="4909"/>
            <w:tcBorders/>
            <w:shd w:fill="FFFFFF" w:val="clear"/>
            <w:tcMar>
              <w:top w:type="dxa" w:w="0"/>
              <w:left w:type="dxa" w:w="108"/>
              <w:bottom w:type="dxa" w:w="0"/>
              <w:right w:type="dxa" w:w="108"/>
            </w:tcMar>
          </w:tcPr>
          <w:p>
            <w:pPr>
              <w:pStyle w:val="style150"/>
              <w:jc w:val="center"/>
            </w:pPr>
            <w:r>
              <w:rPr>
                <w:rFonts w:ascii="Times New Roman" w:cs="Times New Roman" w:hAnsi="Times New Roman"/>
                <w:b/>
                <w:bCs/>
                <w:color w:val="808080"/>
              </w:rPr>
              <w:t>California Institute of Technology</w:t>
            </w:r>
          </w:p>
          <w:p>
            <w:pPr>
              <w:pStyle w:val="style150"/>
              <w:jc w:val="center"/>
            </w:pPr>
            <w:r>
              <w:rPr>
                <w:rFonts w:ascii="Times New Roman" w:cs="Times New Roman" w:hAnsi="Times New Roman"/>
                <w:b/>
                <w:bCs/>
                <w:color w:val="808080"/>
              </w:rPr>
              <w:t>LIGO Project – MS 18-34</w:t>
            </w:r>
          </w:p>
          <w:p>
            <w:pPr>
              <w:pStyle w:val="style150"/>
              <w:jc w:val="center"/>
            </w:pPr>
            <w:r>
              <w:rPr>
                <w:rFonts w:ascii="Times New Roman" w:cs="Times New Roman" w:hAnsi="Times New Roman"/>
                <w:b/>
                <w:bCs/>
                <w:color w:val="808080"/>
              </w:rPr>
              <w:t>1200 E. California Blvd.</w:t>
            </w:r>
          </w:p>
          <w:p>
            <w:pPr>
              <w:pStyle w:val="style150"/>
              <w:jc w:val="center"/>
            </w:pPr>
            <w:r>
              <w:rPr>
                <w:rFonts w:ascii="Times New Roman" w:cs="Times New Roman" w:hAnsi="Times New Roman"/>
                <w:b/>
                <w:bCs/>
                <w:color w:val="808080"/>
              </w:rPr>
              <w:t>Pasadena, CA 91125</w:t>
            </w:r>
          </w:p>
          <w:p>
            <w:pPr>
              <w:pStyle w:val="style150"/>
              <w:jc w:val="center"/>
            </w:pPr>
            <w:r>
              <w:rPr>
                <w:rFonts w:ascii="Times New Roman" w:cs="Times New Roman" w:hAnsi="Times New Roman"/>
                <w:color w:val="808080"/>
                <w:lang w:val="fr-BE"/>
              </w:rPr>
              <w:t>Phone (626) 395-2129</w:t>
            </w:r>
          </w:p>
          <w:p>
            <w:pPr>
              <w:pStyle w:val="style150"/>
              <w:jc w:val="center"/>
            </w:pPr>
            <w:r>
              <w:rPr>
                <w:rFonts w:ascii="Times New Roman" w:cs="Times New Roman" w:hAnsi="Times New Roman"/>
                <w:color w:val="808080"/>
                <w:lang w:val="fr-BE"/>
              </w:rPr>
              <w:t>Fax (626) 304-9834</w:t>
            </w:r>
          </w:p>
          <w:p>
            <w:pPr>
              <w:pStyle w:val="style150"/>
              <w:jc w:val="center"/>
            </w:pPr>
            <w:r>
              <w:rPr>
                <w:rFonts w:ascii="Times New Roman" w:cs="Times New Roman" w:hAnsi="Times New Roman"/>
                <w:color w:val="808080"/>
                <w:lang w:val="fr-BE"/>
              </w:rPr>
              <w:t>E-mail: info@ligo.caltech.edu</w:t>
            </w:r>
          </w:p>
        </w:tc>
        <w:tc>
          <w:tcPr>
            <w:tcW w:type="dxa" w:w="4908"/>
            <w:tcBorders/>
            <w:shd w:fill="FFFFFF" w:val="clear"/>
            <w:tcMar>
              <w:top w:type="dxa" w:w="0"/>
              <w:left w:type="dxa" w:w="108"/>
              <w:bottom w:type="dxa" w:w="0"/>
              <w:right w:type="dxa" w:w="108"/>
            </w:tcMar>
          </w:tcPr>
          <w:p>
            <w:pPr>
              <w:pStyle w:val="style150"/>
              <w:jc w:val="center"/>
            </w:pPr>
            <w:r>
              <w:rPr>
                <w:rFonts w:ascii="Times New Roman" w:cs="Times New Roman" w:hAnsi="Times New Roman"/>
                <w:b/>
                <w:bCs/>
                <w:color w:val="808080"/>
              </w:rPr>
              <w:t>Massachusetts Institute of Technology</w:t>
            </w:r>
          </w:p>
          <w:p>
            <w:pPr>
              <w:pStyle w:val="style150"/>
              <w:jc w:val="center"/>
            </w:pPr>
            <w:r>
              <w:rPr>
                <w:rFonts w:ascii="Times New Roman" w:cs="Times New Roman" w:hAnsi="Times New Roman"/>
                <w:b/>
                <w:bCs/>
                <w:color w:val="808080"/>
              </w:rPr>
              <w:t>LIGO Project – NW22-295</w:t>
            </w:r>
          </w:p>
          <w:p>
            <w:pPr>
              <w:pStyle w:val="style150"/>
              <w:jc w:val="center"/>
            </w:pPr>
            <w:r>
              <w:rPr>
                <w:rFonts w:ascii="Times New Roman" w:cs="Times New Roman" w:hAnsi="Times New Roman"/>
                <w:b/>
                <w:bCs/>
                <w:color w:val="808080"/>
              </w:rPr>
              <w:t>185 Albany St</w:t>
            </w:r>
          </w:p>
          <w:p>
            <w:pPr>
              <w:pStyle w:val="style150"/>
              <w:jc w:val="center"/>
            </w:pPr>
            <w:r>
              <w:rPr>
                <w:rFonts w:ascii="Times New Roman" w:cs="Times New Roman" w:hAnsi="Times New Roman"/>
                <w:b/>
                <w:bCs/>
                <w:color w:val="808080"/>
              </w:rPr>
              <w:t>Cambridge, MA 02139</w:t>
            </w:r>
          </w:p>
          <w:p>
            <w:pPr>
              <w:pStyle w:val="style150"/>
              <w:jc w:val="center"/>
            </w:pPr>
            <w:r>
              <w:rPr>
                <w:rFonts w:ascii="Times New Roman" w:cs="Times New Roman" w:hAnsi="Times New Roman"/>
                <w:color w:val="808080"/>
              </w:rPr>
              <w:t>Phone (617) 253-4824</w:t>
            </w:r>
          </w:p>
          <w:p>
            <w:pPr>
              <w:pStyle w:val="style150"/>
              <w:jc w:val="center"/>
            </w:pPr>
            <w:r>
              <w:rPr>
                <w:rFonts w:ascii="Times New Roman" w:cs="Times New Roman" w:hAnsi="Times New Roman"/>
                <w:color w:val="808080"/>
                <w:lang w:val="fr-BE"/>
              </w:rPr>
              <w:t>Fax (617) 253-7014</w:t>
            </w:r>
          </w:p>
          <w:p>
            <w:pPr>
              <w:pStyle w:val="style150"/>
              <w:jc w:val="center"/>
            </w:pPr>
            <w:r>
              <w:rPr>
                <w:rFonts w:ascii="Times New Roman" w:cs="Times New Roman" w:hAnsi="Times New Roman"/>
                <w:color w:val="808080"/>
                <w:lang w:val="fr-BE"/>
              </w:rPr>
              <w:t>E-mail: info@ligo.mit.edu</w:t>
            </w:r>
          </w:p>
        </w:tc>
      </w:tr>
      <w:tr>
        <w:trPr>
          <w:cantSplit w:val="false"/>
        </w:trPr>
        <w:tc>
          <w:tcPr>
            <w:tcW w:type="dxa" w:w="4909"/>
            <w:tcBorders/>
            <w:shd w:fill="FFFFFF" w:val="clear"/>
            <w:tcMar>
              <w:top w:type="dxa" w:w="0"/>
              <w:left w:type="dxa" w:w="108"/>
              <w:bottom w:type="dxa" w:w="0"/>
              <w:right w:type="dxa" w:w="108"/>
            </w:tcMar>
          </w:tcPr>
          <w:p>
            <w:pPr>
              <w:pStyle w:val="style150"/>
              <w:jc w:val="center"/>
            </w:pPr>
            <w:r>
              <w:rPr>
                <w:rFonts w:ascii="Times New Roman" w:cs="Times New Roman" w:hAnsi="Times New Roman"/>
                <w:b/>
                <w:bCs/>
                <w:color w:val="808080"/>
                <w:lang w:val="fr-BE"/>
              </w:rPr>
            </w:r>
          </w:p>
          <w:p>
            <w:pPr>
              <w:pStyle w:val="style150"/>
              <w:jc w:val="center"/>
            </w:pPr>
            <w:r>
              <w:rPr>
                <w:rFonts w:ascii="Times New Roman" w:cs="Times New Roman" w:hAnsi="Times New Roman"/>
                <w:b/>
                <w:bCs/>
                <w:color w:val="808080"/>
              </w:rPr>
              <w:t>LIGO Hanford Observatory</w:t>
            </w:r>
          </w:p>
          <w:p>
            <w:pPr>
              <w:pStyle w:val="style150"/>
              <w:jc w:val="center"/>
            </w:pPr>
            <w:r>
              <w:rPr>
                <w:rFonts w:ascii="Times New Roman" w:cs="Times New Roman" w:hAnsi="Times New Roman"/>
                <w:b/>
                <w:bCs/>
                <w:color w:val="808080"/>
              </w:rPr>
              <w:t>P.O. Box 1970</w:t>
            </w:r>
          </w:p>
          <w:p>
            <w:pPr>
              <w:pStyle w:val="style150"/>
              <w:jc w:val="center"/>
            </w:pPr>
            <w:r>
              <w:rPr>
                <w:rFonts w:ascii="Times New Roman" w:cs="Times New Roman" w:hAnsi="Times New Roman"/>
                <w:b/>
                <w:bCs/>
                <w:color w:val="808080"/>
              </w:rPr>
              <w:t>Mail Stop S9-02</w:t>
            </w:r>
          </w:p>
          <w:p>
            <w:pPr>
              <w:pStyle w:val="style150"/>
              <w:jc w:val="center"/>
            </w:pPr>
            <w:r>
              <w:rPr>
                <w:rFonts w:ascii="Times New Roman" w:cs="Times New Roman" w:hAnsi="Times New Roman"/>
                <w:b/>
                <w:bCs/>
                <w:color w:val="808080"/>
              </w:rPr>
              <w:t>Richland WA 99352</w:t>
            </w:r>
          </w:p>
          <w:p>
            <w:pPr>
              <w:pStyle w:val="style150"/>
              <w:jc w:val="center"/>
            </w:pPr>
            <w:r>
              <w:rPr>
                <w:rFonts w:ascii="Times New Roman" w:cs="Times New Roman" w:hAnsi="Times New Roman"/>
                <w:color w:val="808080"/>
              </w:rPr>
              <w:t>Phone 509-372-8106</w:t>
            </w:r>
          </w:p>
          <w:p>
            <w:pPr>
              <w:pStyle w:val="style150"/>
              <w:jc w:val="center"/>
            </w:pPr>
            <w:r>
              <w:rPr>
                <w:rFonts w:ascii="Times New Roman" w:cs="Times New Roman" w:hAnsi="Times New Roman"/>
                <w:color w:val="808080"/>
              </w:rPr>
              <w:t>Fax 509-372-8137</w:t>
            </w:r>
          </w:p>
        </w:tc>
        <w:tc>
          <w:tcPr>
            <w:tcW w:type="dxa" w:w="4908"/>
            <w:tcBorders/>
            <w:shd w:fill="FFFFFF" w:val="clear"/>
            <w:tcMar>
              <w:top w:type="dxa" w:w="0"/>
              <w:left w:type="dxa" w:w="108"/>
              <w:bottom w:type="dxa" w:w="0"/>
              <w:right w:type="dxa" w:w="108"/>
            </w:tcMar>
          </w:tcPr>
          <w:p>
            <w:pPr>
              <w:pStyle w:val="style150"/>
              <w:jc w:val="center"/>
            </w:pPr>
            <w:r>
              <w:rPr>
                <w:rFonts w:ascii="Times New Roman" w:cs="Times New Roman" w:hAnsi="Times New Roman"/>
                <w:b/>
                <w:bCs/>
                <w:color w:val="808080"/>
              </w:rPr>
            </w:r>
          </w:p>
          <w:p>
            <w:pPr>
              <w:pStyle w:val="style150"/>
              <w:jc w:val="center"/>
            </w:pPr>
            <w:r>
              <w:rPr>
                <w:rFonts w:ascii="Times New Roman" w:cs="Times New Roman" w:hAnsi="Times New Roman"/>
                <w:b/>
                <w:bCs/>
                <w:color w:val="808080"/>
              </w:rPr>
              <w:t>LIGO Livingston Observatory</w:t>
            </w:r>
          </w:p>
          <w:p>
            <w:pPr>
              <w:pStyle w:val="style150"/>
              <w:jc w:val="center"/>
            </w:pPr>
            <w:r>
              <w:rPr>
                <w:rFonts w:ascii="Times New Roman" w:cs="Times New Roman" w:hAnsi="Times New Roman"/>
                <w:b/>
                <w:bCs/>
                <w:color w:val="808080"/>
              </w:rPr>
              <w:t>P.O. Box 940</w:t>
            </w:r>
          </w:p>
          <w:p>
            <w:pPr>
              <w:pStyle w:val="style150"/>
              <w:jc w:val="center"/>
            </w:pPr>
            <w:r>
              <w:rPr>
                <w:rFonts w:ascii="Times New Roman" w:cs="Times New Roman" w:hAnsi="Times New Roman"/>
                <w:b/>
                <w:bCs/>
                <w:color w:val="808080"/>
              </w:rPr>
              <w:t>Livingston, LA  70754</w:t>
            </w:r>
          </w:p>
          <w:p>
            <w:pPr>
              <w:pStyle w:val="style150"/>
              <w:jc w:val="center"/>
            </w:pPr>
            <w:r>
              <w:rPr>
                <w:rFonts w:ascii="Times New Roman" w:cs="Times New Roman" w:hAnsi="Times New Roman"/>
                <w:color w:val="808080"/>
              </w:rPr>
              <w:t>Phone 225-686-3100</w:t>
            </w:r>
          </w:p>
          <w:p>
            <w:pPr>
              <w:pStyle w:val="style150"/>
              <w:jc w:val="center"/>
            </w:pPr>
            <w:r>
              <w:rPr>
                <w:rFonts w:ascii="Times New Roman" w:cs="Times New Roman" w:hAnsi="Times New Roman"/>
                <w:color w:val="808080"/>
              </w:rPr>
              <w:t>Fax 225-686-7189</w:t>
            </w:r>
          </w:p>
        </w:tc>
      </w:tr>
    </w:tbl>
    <w:p>
      <w:pPr>
        <w:sectPr>
          <w:headerReference r:id="rId2" w:type="default"/>
          <w:type w:val="nextPage"/>
          <w:pgSz w:h="15840" w:w="12240"/>
          <w:pgMar w:bottom="1200" w:footer="0" w:gutter="0" w:header="720" w:left="1200" w:right="1200" w:top="1200"/>
          <w:pgNumType w:fmt="decimal"/>
          <w:formProt w:val="false"/>
          <w:textDirection w:val="lrTb"/>
          <w:docGrid w:charSpace="0" w:linePitch="360" w:type="default"/>
        </w:sectPr>
        <w:pStyle w:val="style148"/>
        <w:tabs>
          <w:tab w:leader="none" w:pos="9840" w:val="right"/>
        </w:tabs>
      </w:pPr>
      <w:r>
        <w:rPr>
          <w:b/>
          <w:caps/>
        </w:rPr>
      </w:r>
    </w:p>
    <w:p>
      <w:pPr>
        <w:pStyle w:val="style159"/>
      </w:pPr>
      <w:bookmarkStart w:id="0" w:name="__RefHeading__16982_1262773321"/>
      <w:bookmarkStart w:id="1" w:name="_Toc244945152"/>
      <w:bookmarkStart w:id="2" w:name="_GoBack"/>
      <w:bookmarkEnd w:id="0"/>
      <w:bookmarkEnd w:id="1"/>
      <w:bookmarkEnd w:id="2"/>
      <w:r>
        <w:rPr/>
        <w:t xml:space="preserve">Contents </w:t>
      </w:r>
    </w:p>
    <w:p>
      <w:pPr>
        <w:sectPr>
          <w:headerReference r:id="rId3" w:type="even"/>
          <w:headerReference r:id="rId4" w:type="default"/>
          <w:footerReference r:id="rId5" w:type="even"/>
          <w:footerReference r:id="rId6" w:type="default"/>
          <w:type w:val="nextPage"/>
          <w:pgSz w:h="15840" w:w="12240"/>
          <w:pgMar w:bottom="1200" w:footer="720" w:gutter="0" w:header="720" w:left="1200" w:right="1200" w:top="1200"/>
          <w:pgNumType w:fmt="decimal"/>
          <w:formProt w:val="false"/>
          <w:textDirection w:val="lrTb"/>
          <w:docGrid w:charSpace="0" w:linePitch="360" w:type="default"/>
        </w:sectPr>
      </w:pPr>
    </w:p>
    <w:p>
      <w:pPr>
        <w:pStyle w:val="style152"/>
        <w:tabs>
          <w:tab w:leader="dot" w:pos="9840" w:val="right"/>
        </w:tabs>
      </w:pPr>
      <w:r>
        <w:fldChar w:fldCharType="begin"/>
      </w:r>
      <w:r>
        <w:instrText> TOC </w:instrText>
      </w:r>
      <w:r>
        <w:fldChar w:fldCharType="separate"/>
      </w:r>
      <w:hyperlink w:anchor="__RefHeading__2856_1935933781">
        <w:r>
          <w:rPr>
            <w:rStyle w:val="style141"/>
          </w:rPr>
          <w:t>Sub-Components Testing</w:t>
          <w:tab/>
          <w:t>5</w:t>
        </w:r>
      </w:hyperlink>
    </w:p>
    <w:p>
      <w:pPr>
        <w:pStyle w:val="style152"/>
        <w:tabs>
          <w:tab w:leader="dot" w:pos="9840" w:val="right"/>
        </w:tabs>
      </w:pPr>
      <w:hyperlink w:anchor="__RefHeading__16986_1262773321">
        <w:r>
          <w:rPr>
            <w:rStyle w:val="style141"/>
          </w:rPr>
          <w:t>Assembly Validation</w:t>
          <w:tab/>
          <w:t>5</w:t>
        </w:r>
      </w:hyperlink>
    </w:p>
    <w:p>
      <w:pPr>
        <w:pStyle w:val="style155"/>
        <w:tabs>
          <w:tab w:leader="dot" w:pos="10080" w:val="right"/>
        </w:tabs>
      </w:pPr>
      <w:hyperlink w:anchor="__RefHeading__178_1185372569">
        <w:r>
          <w:rPr>
            <w:rStyle w:val="style141"/>
          </w:rPr>
          <w:t>1Load Cells assembly</w:t>
          <w:tab/>
          <w:t>5</w:t>
        </w:r>
      </w:hyperlink>
    </w:p>
    <w:p>
      <w:pPr>
        <w:pStyle w:val="style155"/>
        <w:tabs>
          <w:tab w:leader="dot" w:pos="10080" w:val="right"/>
        </w:tabs>
      </w:pPr>
      <w:hyperlink w:anchor="__RefHeading__23654_1262773321">
        <w:r>
          <w:rPr>
            <w:rStyle w:val="style141"/>
          </w:rPr>
          <w:t>2Bellows</w:t>
          <w:tab/>
          <w:t>6</w:t>
        </w:r>
      </w:hyperlink>
    </w:p>
    <w:p>
      <w:pPr>
        <w:pStyle w:val="style155"/>
        <w:tabs>
          <w:tab w:leader="dot" w:pos="10080" w:val="right"/>
        </w:tabs>
      </w:pPr>
      <w:hyperlink w:anchor="__RefHeading__162_870708744">
        <w:r>
          <w:rPr>
            <w:rStyle w:val="style141"/>
          </w:rPr>
          <w:t>3Boot Location</w:t>
          <w:tab/>
          <w:t>6</w:t>
        </w:r>
      </w:hyperlink>
    </w:p>
    <w:p>
      <w:pPr>
        <w:pStyle w:val="style155"/>
        <w:tabs>
          <w:tab w:leader="dot" w:pos="10080" w:val="right"/>
        </w:tabs>
      </w:pPr>
      <w:hyperlink w:anchor="__RefHeading__836_1185372569">
        <w:r>
          <w:rPr>
            <w:rStyle w:val="style141"/>
          </w:rPr>
          <w:t>4Check Stops Gaps</w:t>
          <w:tab/>
          <w:t>8</w:t>
        </w:r>
      </w:hyperlink>
    </w:p>
    <w:p>
      <w:pPr>
        <w:pStyle w:val="style155"/>
        <w:tabs>
          <w:tab w:leader="dot" w:pos="10080" w:val="right"/>
        </w:tabs>
      </w:pPr>
      <w:hyperlink w:anchor="__RefHeading__170_870708744">
        <w:r>
          <w:rPr>
            <w:rStyle w:val="style141"/>
          </w:rPr>
          <w:t>5Gaps check</w:t>
          <w:tab/>
          <w:t>10</w:t>
        </w:r>
      </w:hyperlink>
    </w:p>
    <w:p>
      <w:pPr>
        <w:pStyle w:val="style155"/>
        <w:tabs>
          <w:tab w:leader="dot" w:pos="10080" w:val="right"/>
        </w:tabs>
      </w:pPr>
      <w:hyperlink w:anchor="__RefHeading__840_1185372569">
        <w:r>
          <w:rPr>
            <w:rStyle w:val="style141"/>
          </w:rPr>
          <w:t>6IPS Centering</w:t>
          <w:tab/>
          <w:t>12</w:t>
        </w:r>
      </w:hyperlink>
    </w:p>
    <w:p>
      <w:pPr>
        <w:pStyle w:val="style155"/>
        <w:tabs>
          <w:tab w:leader="dot" w:pos="10080" w:val="right"/>
        </w:tabs>
      </w:pPr>
      <w:hyperlink w:anchor="__RefHeading__98_503471281">
        <w:r>
          <w:rPr>
            <w:rStyle w:val="style141"/>
          </w:rPr>
          <w:t>7Sensor ASD</w:t>
          <w:tab/>
          <w:t>12</w:t>
        </w:r>
      </w:hyperlink>
    </w:p>
    <w:p>
      <w:pPr>
        <w:pStyle w:val="style155"/>
        <w:tabs>
          <w:tab w:leader="dot" w:pos="10080" w:val="right"/>
        </w:tabs>
      </w:pPr>
      <w:hyperlink w:anchor="__RefHeading__196_1185372569">
        <w:r>
          <w:rPr>
            <w:rStyle w:val="style141"/>
          </w:rPr>
          <w:t>8SUS-watchdogs interaction test</w:t>
          <w:tab/>
          <w:t>13</w:t>
        </w:r>
      </w:hyperlink>
    </w:p>
    <w:p>
      <w:pPr>
        <w:pStyle w:val="style155"/>
        <w:tabs>
          <w:tab w:leader="dot" w:pos="10080" w:val="right"/>
        </w:tabs>
      </w:pPr>
      <w:hyperlink w:anchor="__RefHeading__23664_1262773321">
        <w:r>
          <w:rPr>
            <w:rStyle w:val="style141"/>
          </w:rPr>
          <w:t xml:space="preserve">9Static Test local drive </w:t>
          <w:tab/>
          <w:t>14</w:t>
        </w:r>
      </w:hyperlink>
    </w:p>
    <w:p>
      <w:pPr>
        <w:pStyle w:val="style155"/>
        <w:tabs>
          <w:tab w:leader="dot" w:pos="10080" w:val="right"/>
        </w:tabs>
      </w:pPr>
      <w:hyperlink w:anchor="__RefHeading__444_1185372569">
        <w:r>
          <w:rPr>
            <w:rStyle w:val="style141"/>
          </w:rPr>
          <w:t>10Linearity Test/Range of motion in the local basis</w:t>
          <w:tab/>
          <w:t>17</w:t>
        </w:r>
      </w:hyperlink>
    </w:p>
    <w:p>
      <w:pPr>
        <w:pStyle w:val="style155"/>
        <w:tabs>
          <w:tab w:leader="dot" w:pos="10080" w:val="right"/>
        </w:tabs>
      </w:pPr>
      <w:hyperlink w:anchor="__RefHeading__854_1185372569">
        <w:r>
          <w:rPr>
            <w:rStyle w:val="style141"/>
          </w:rPr>
          <w:t>11Actuator Plate to Shields gap</w:t>
          <w:tab/>
          <w:t>19</w:t>
        </w:r>
      </w:hyperlink>
    </w:p>
    <w:p>
      <w:pPr>
        <w:pStyle w:val="style155"/>
        <w:tabs>
          <w:tab w:leader="dot" w:pos="10080" w:val="right"/>
        </w:tabs>
      </w:pPr>
      <w:hyperlink w:anchor="__RefHeading__208_1185372569">
        <w:r>
          <w:rPr>
            <w:rStyle w:val="style141"/>
          </w:rPr>
          <w:t>12Valve Check</w:t>
          <w:tab/>
          <w:t>19</w:t>
        </w:r>
      </w:hyperlink>
    </w:p>
    <w:p>
      <w:pPr>
        <w:pStyle w:val="style155"/>
        <w:tabs>
          <w:tab w:leader="dot" w:pos="10080" w:val="right"/>
        </w:tabs>
      </w:pPr>
      <w:hyperlink w:anchor="__RefHeading__126_1080062798">
        <w:r>
          <w:rPr>
            <w:rStyle w:val="style141"/>
          </w:rPr>
          <w:t>13Local-to-local measurements</w:t>
          <w:tab/>
          <w:t>20</w:t>
        </w:r>
      </w:hyperlink>
    </w:p>
    <w:p>
      <w:pPr>
        <w:pStyle w:val="style155"/>
        <w:tabs>
          <w:tab w:leader="dot" w:pos="10080" w:val="right"/>
        </w:tabs>
      </w:pPr>
      <w:hyperlink w:anchor="__RefHeading__2858_1935933781">
        <w:r>
          <w:rPr>
            <w:rStyle w:val="style141"/>
          </w:rPr>
          <w:t>14Alignment offsets:</w:t>
          <w:tab/>
          <w:t>22</w:t>
        </w:r>
        <w:r>
          <w:fldChar w:fldCharType="end"/>
        </w:r>
      </w:hyperlink>
    </w:p>
    <w:p>
      <w:pPr>
        <w:sectPr>
          <w:type w:val="continuous"/>
          <w:pgSz w:h="15840" w:w="12240"/>
          <w:pgMar w:bottom="1200" w:footer="720" w:gutter="0" w:header="720" w:left="1200" w:right="1200" w:top="1200"/>
          <w:formProt/>
          <w:textDirection w:val="lrTb"/>
          <w:docGrid w:charSpace="0" w:linePitch="360" w:type="default"/>
        </w:sectPr>
      </w:pPr>
    </w:p>
    <w:p>
      <w:pPr>
        <w:pStyle w:val="style155"/>
        <w:tabs>
          <w:tab w:leader="dot" w:pos="10080" w:val="right"/>
        </w:tabs>
      </w:pPr>
      <w:r>
        <w:rPr/>
      </w:r>
    </w:p>
    <w:p>
      <w:pPr>
        <w:pStyle w:val="style0"/>
      </w:pPr>
      <w:r>
        <w:rPr/>
      </w:r>
    </w:p>
    <w:p>
      <w:pPr>
        <w:pStyle w:val="style0"/>
      </w:pPr>
      <w:r>
        <w:rPr/>
      </w:r>
    </w:p>
    <w:p>
      <w:pPr>
        <w:pStyle w:val="style0"/>
      </w:pPr>
      <w:r>
        <w:rPr>
          <w:color w:val="FF3366"/>
        </w:rPr>
        <w:t>The Gap Checks are all specific to the HAM, if doing all this is reasonable, why not specify doing it for the BSC?</w:t>
      </w:r>
    </w:p>
    <w:p>
      <w:pPr>
        <w:pStyle w:val="style0"/>
        <w:pageBreakBefore/>
      </w:pPr>
      <w:r>
        <w:rPr/>
        <w:t>\</w:t>
      </w:r>
    </w:p>
    <w:p>
      <w:pPr>
        <w:pStyle w:val="style161"/>
      </w:pPr>
      <w:r>
        <w:rPr/>
        <w:t>Introduction</w:t>
      </w:r>
    </w:p>
    <w:p>
      <w:pPr>
        <w:pStyle w:val="style0"/>
      </w:pPr>
      <w:r>
        <w:rPr/>
      </w:r>
    </w:p>
    <w:p>
      <w:pPr>
        <w:pStyle w:val="style0"/>
      </w:pPr>
      <w:r>
        <w:rPr/>
      </w:r>
    </w:p>
    <w:p>
      <w:pPr>
        <w:pStyle w:val="style0"/>
      </w:pPr>
      <w:r>
        <w:rPr/>
        <w:t>This document summarizes the steps to be done to validate HEPI assemblies.  Corresponding reports must be posted in :</w:t>
      </w:r>
    </w:p>
    <w:p>
      <w:pPr>
        <w:pStyle w:val="style0"/>
      </w:pPr>
      <w:r>
        <w:rPr/>
      </w:r>
    </w:p>
    <w:p>
      <w:pPr>
        <w:pStyle w:val="style0"/>
        <w:jc w:val="center"/>
      </w:pPr>
      <w:r>
        <w:rPr/>
        <w:t>LIGO-E1300454: aLIGO HEPI Testing Reports</w:t>
      </w:r>
    </w:p>
    <w:p>
      <w:pPr>
        <w:pStyle w:val="style0"/>
      </w:pPr>
      <w:r>
        <w:rPr/>
      </w:r>
    </w:p>
    <w:p>
      <w:pPr>
        <w:pStyle w:val="style1"/>
      </w:pPr>
      <w:bookmarkStart w:id="3" w:name="_Toc244945153"/>
      <w:bookmarkStart w:id="4" w:name="__RefHeading__2856_1935933781"/>
      <w:bookmarkEnd w:id="4"/>
      <w:bookmarkEnd w:id="3"/>
      <w:r>
        <w:rPr/>
        <w:t>Sub-Components Testing</w:t>
      </w:r>
    </w:p>
    <w:p>
      <w:pPr>
        <w:pStyle w:val="style0"/>
      </w:pPr>
      <w:r>
        <w:rPr/>
      </w:r>
    </w:p>
    <w:p>
      <w:pPr>
        <w:pStyle w:val="style158"/>
        <w:numPr>
          <w:ilvl w:val="0"/>
          <w:numId w:val="6"/>
        </w:numPr>
        <w:suppressAutoHyphens w:val="false"/>
        <w:spacing w:after="0" w:before="240" w:line="276" w:lineRule="auto"/>
        <w:ind w:hanging="0" w:left="360" w:right="0"/>
      </w:pPr>
      <w:r>
        <w:rPr/>
        <w:t>Kaman Inductive Position Sensors: calibration, linearity, factory data, noise measurements (E0900426 – HEPI Kaman Sensor Receiving Analysis - Results posted in the SVN )</w:t>
      </w:r>
    </w:p>
    <w:p>
      <w:pPr>
        <w:pStyle w:val="style158"/>
        <w:numPr>
          <w:ilvl w:val="0"/>
          <w:numId w:val="6"/>
        </w:numPr>
        <w:suppressAutoHyphens w:val="false"/>
        <w:spacing w:after="0" w:before="240" w:line="276" w:lineRule="auto"/>
        <w:ind w:hanging="0" w:left="360" w:right="0"/>
      </w:pPr>
      <w:r>
        <w:rPr/>
        <w:t>HEPI actuator linearity test (E1100338 – aLIGO HEPI Actuators Test Results)</w:t>
      </w:r>
    </w:p>
    <w:p>
      <w:pPr>
        <w:pStyle w:val="style158"/>
        <w:numPr>
          <w:ilvl w:val="0"/>
          <w:numId w:val="6"/>
        </w:numPr>
        <w:suppressAutoHyphens w:val="false"/>
        <w:spacing w:after="0" w:before="240" w:line="276" w:lineRule="auto"/>
        <w:ind w:hanging="0" w:left="360" w:right="0"/>
      </w:pPr>
      <w:r>
        <w:rPr/>
        <w:t>L4C test (Q0900007)</w:t>
      </w:r>
    </w:p>
    <w:p>
      <w:pPr>
        <w:pStyle w:val="style158"/>
        <w:suppressAutoHyphens w:val="false"/>
        <w:spacing w:after="200" w:before="0" w:line="276" w:lineRule="auto"/>
        <w:ind w:hanging="0" w:left="0" w:right="0"/>
      </w:pPr>
      <w:r>
        <w:rPr/>
      </w:r>
    </w:p>
    <w:p>
      <w:pPr>
        <w:pStyle w:val="style1"/>
      </w:pPr>
      <w:bookmarkStart w:id="5" w:name="__RefHeading__16986_1262773321"/>
      <w:bookmarkStart w:id="6" w:name="_Toc244945154"/>
      <w:bookmarkEnd w:id="5"/>
      <w:bookmarkEnd w:id="6"/>
      <w:r>
        <w:rPr/>
        <w:t>Assembly Validation</w:t>
      </w:r>
    </w:p>
    <w:p>
      <w:pPr>
        <w:pStyle w:val="style0"/>
      </w:pPr>
      <w:r>
        <w:rPr/>
        <w:t>After installation along procedure Exxxxxx, and aligment along procedure Exxxxxx, and once HEPI is in final configuration (alignment completed).</w:t>
      </w:r>
    </w:p>
    <w:p>
      <w:pPr>
        <w:pStyle w:val="style0"/>
      </w:pPr>
      <w:r>
        <w:rPr/>
      </w:r>
    </w:p>
    <w:p>
      <w:pPr>
        <w:pStyle w:val="style0"/>
      </w:pPr>
      <w:r>
        <w:rPr/>
      </w:r>
    </w:p>
    <w:p>
      <w:pPr>
        <w:pStyle w:val="style2"/>
        <w:numPr>
          <w:ilvl w:val="1"/>
          <w:numId w:val="1"/>
        </w:numPr>
      </w:pPr>
      <w:bookmarkStart w:id="7" w:name="__RefHeading__178_1185372569"/>
      <w:bookmarkStart w:id="8" w:name="__RefHeading__141_78310084"/>
      <w:bookmarkStart w:id="9" w:name="__RefHeading__123_968872343"/>
      <w:bookmarkStart w:id="10" w:name="__RefHeading__90_503471281"/>
      <w:bookmarkStart w:id="11" w:name="__RefHeading__23744_1262773321"/>
      <w:bookmarkStart w:id="12" w:name="__RefHeading__23055_1262773321"/>
      <w:bookmarkStart w:id="13" w:name="__RefHeading__158_870708744"/>
      <w:bookmarkStart w:id="14" w:name="__RefHeading__106_1080062798"/>
      <w:bookmarkStart w:id="15" w:name="__RefHeading__23847_1262773321"/>
      <w:bookmarkStart w:id="16" w:name="__RefHeading__23652_1262773321"/>
      <w:bookmarkStart w:id="17" w:name="__RefHeading__826_1185372569"/>
      <w:bookmarkStart w:id="18" w:name="__RefHeading__420_1185372569"/>
      <w:bookmarkStart w:id="19" w:name="_Toc244945155"/>
      <w:bookmarkEnd w:id="7"/>
      <w:bookmarkEnd w:id="8"/>
      <w:bookmarkEnd w:id="9"/>
      <w:bookmarkEnd w:id="10"/>
      <w:bookmarkEnd w:id="11"/>
      <w:bookmarkEnd w:id="12"/>
      <w:bookmarkEnd w:id="13"/>
      <w:bookmarkEnd w:id="14"/>
      <w:bookmarkEnd w:id="15"/>
      <w:bookmarkEnd w:id="16"/>
      <w:bookmarkEnd w:id="17"/>
      <w:bookmarkEnd w:id="18"/>
      <w:bookmarkEnd w:id="19"/>
      <w:r>
        <w:rPr/>
        <w:t>Load Cells assembly</w:t>
      </w:r>
    </w:p>
    <w:p>
      <w:pPr>
        <w:pStyle w:val="style158"/>
        <w:numPr>
          <w:ilvl w:val="0"/>
          <w:numId w:val="6"/>
        </w:numPr>
        <w:suppressAutoHyphens w:val="false"/>
        <w:spacing w:after="0" w:before="240" w:line="276" w:lineRule="auto"/>
        <w:ind w:hanging="0" w:left="360" w:right="0"/>
      </w:pPr>
      <w:r>
        <w:rPr/>
        <w:t>Spring attachment</w:t>
      </w:r>
    </w:p>
    <w:p>
      <w:pPr>
        <w:pStyle w:val="style0"/>
        <w:jc w:val="center"/>
      </w:pPr>
      <w:r>
        <w:rPr/>
        <w:t>For the BSC HEPI springs, check the assembly per D030324. See LLO aLOG 7162 for more details.</w:t>
      </w:r>
    </w:p>
    <w:p>
      <w:pPr>
        <w:pStyle w:val="style0"/>
        <w:jc w:val="center"/>
      </w:pPr>
      <w:r>
        <w:rPr/>
        <w:drawing>
          <wp:inline distB="0" distL="0" distR="0" distT="0">
            <wp:extent cx="2486025" cy="18764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p>
      <w:pPr>
        <w:pStyle w:val="style158"/>
        <w:numPr>
          <w:ilvl w:val="0"/>
          <w:numId w:val="6"/>
        </w:numPr>
        <w:suppressAutoHyphens w:val="false"/>
        <w:spacing w:after="0" w:before="240" w:line="276" w:lineRule="auto"/>
        <w:ind w:hanging="0" w:left="360" w:right="0"/>
        <w:jc w:val="both"/>
      </w:pPr>
      <w:r>
        <w:rPr/>
        <w:t>Load cell values</w:t>
      </w:r>
    </w:p>
    <w:p>
      <w:pPr>
        <w:pStyle w:val="style0"/>
      </w:pPr>
      <w:r>
        <w:rPr/>
        <w:t>BSC HEPI load cell capacity → 3000 lbs</w:t>
      </w:r>
    </w:p>
    <w:p>
      <w:pPr>
        <w:pStyle w:val="style0"/>
      </w:pPr>
      <w:r>
        <w:rPr/>
        <w:t>HAM HEPI load cell capacity → 2000 lbs</w:t>
      </w:r>
    </w:p>
    <w:p>
      <w:pPr>
        <w:pStyle w:val="style0"/>
        <w:jc w:val="center"/>
      </w:pPr>
      <w:r>
        <w:rPr/>
        <w:drawing>
          <wp:inline distB="0" distL="0" distR="0" distT="0">
            <wp:extent cx="4210050" cy="27908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4210050" cy="2790825"/>
                    </a:xfrm>
                    <a:prstGeom prst="rect">
                      <a:avLst/>
                    </a:prstGeom>
                    <a:noFill/>
                    <a:ln w="9525">
                      <a:noFill/>
                      <a:miter lim="800000"/>
                      <a:headEnd/>
                      <a:tailEnd/>
                    </a:ln>
                  </pic:spPr>
                </pic:pic>
              </a:graphicData>
            </a:graphic>
          </wp:inline>
        </w:drawing>
      </w:r>
    </w:p>
    <w:p>
      <w:pPr>
        <w:pStyle w:val="style177"/>
        <w:spacing w:after="120" w:before="0"/>
        <w:jc w:val="center"/>
      </w:pPr>
      <w:r>
        <w:rPr>
          <w:color w:val="FFFFFF"/>
        </w:rPr>
        <w:t>Right Spring</w:t>
      </w:r>
    </w:p>
    <w:p>
      <w:pPr>
        <w:pStyle w:val="style0"/>
        <w:jc w:val="center"/>
      </w:pPr>
      <w:r>
        <w:rPr>
          <w:b/>
          <w:sz w:val="20"/>
          <w:szCs w:val="20"/>
        </w:rPr>
        <w:t>HAM-HEPI example at LASTI</w:t>
      </w:r>
    </w:p>
    <w:p>
      <w:pPr>
        <w:pStyle w:val="style0"/>
        <w:jc w:val="center"/>
      </w:pPr>
      <w:r>
        <w:rPr/>
      </w:r>
    </w:p>
    <w:tbl>
      <w:tblPr>
        <w:jc w:val="left"/>
        <w:tblBorders>
          <w:top w:color="000001" w:space="0" w:sz="2" w:val="single"/>
          <w:left w:color="000001" w:space="0" w:sz="2" w:val="single"/>
          <w:bottom w:color="000001" w:space="0" w:sz="2" w:val="single"/>
        </w:tblBorders>
      </w:tblPr>
      <w:tblGrid>
        <w:gridCol w:w="1004"/>
        <w:gridCol w:w="2418"/>
        <w:gridCol w:w="2252"/>
      </w:tblGrid>
      <w:tr>
        <w:trPr>
          <w:cantSplit w:val="false"/>
        </w:trPr>
        <w:tc>
          <w:tcPr>
            <w:tcW w:type="dxa" w:w="1004"/>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r>
          </w:p>
        </w:tc>
        <w:tc>
          <w:tcPr>
            <w:tcW w:type="dxa" w:w="2418"/>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rPr>
              <w:t>Left Spring (lbs)</w:t>
            </w:r>
          </w:p>
        </w:tc>
        <w:tc>
          <w:tcPr>
            <w:tcW w:type="dxa" w:w="2252"/>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rPr>
              <w:t>Right Spring (lbs)</w:t>
            </w:r>
          </w:p>
        </w:tc>
      </w:tr>
      <w:tr>
        <w:trPr>
          <w:cantSplit w:val="false"/>
        </w:trPr>
        <w:tc>
          <w:tcPr>
            <w:tcW w:type="dxa" w:w="100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rPr>
              <w:t>Pier 1</w:t>
            </w:r>
          </w:p>
        </w:tc>
        <w:tc>
          <w:tcPr>
            <w:tcW w:type="dxa" w:w="2418"/>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1347</w:t>
            </w:r>
          </w:p>
        </w:tc>
        <w:tc>
          <w:tcPr>
            <w:tcW w:type="dxa" w:w="2252"/>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949</w:t>
            </w:r>
          </w:p>
        </w:tc>
      </w:tr>
      <w:tr>
        <w:trPr>
          <w:cantSplit w:val="false"/>
        </w:trPr>
        <w:tc>
          <w:tcPr>
            <w:tcW w:type="dxa" w:w="100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rPr>
              <w:t>Pier 2</w:t>
            </w:r>
          </w:p>
        </w:tc>
        <w:tc>
          <w:tcPr>
            <w:tcW w:type="dxa" w:w="2418"/>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1458</w:t>
            </w:r>
          </w:p>
        </w:tc>
        <w:tc>
          <w:tcPr>
            <w:tcW w:type="dxa" w:w="2252"/>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1631</w:t>
            </w:r>
          </w:p>
        </w:tc>
      </w:tr>
      <w:tr>
        <w:trPr>
          <w:cantSplit w:val="false"/>
        </w:trPr>
        <w:tc>
          <w:tcPr>
            <w:tcW w:type="dxa" w:w="100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rPr>
              <w:t>Pier 3</w:t>
            </w:r>
          </w:p>
        </w:tc>
        <w:tc>
          <w:tcPr>
            <w:tcW w:type="dxa" w:w="2418"/>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1267</w:t>
            </w:r>
          </w:p>
        </w:tc>
        <w:tc>
          <w:tcPr>
            <w:tcW w:type="dxa" w:w="2252"/>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1157</w:t>
            </w:r>
          </w:p>
        </w:tc>
      </w:tr>
      <w:tr>
        <w:trPr>
          <w:cantSplit w:val="false"/>
        </w:trPr>
        <w:tc>
          <w:tcPr>
            <w:tcW w:type="dxa" w:w="100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rPr>
              <w:t>Pier 4</w:t>
            </w:r>
          </w:p>
        </w:tc>
        <w:tc>
          <w:tcPr>
            <w:tcW w:type="dxa" w:w="2418"/>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1142</w:t>
            </w:r>
          </w:p>
        </w:tc>
        <w:tc>
          <w:tcPr>
            <w:tcW w:type="dxa" w:w="2252"/>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1722</w:t>
            </w:r>
          </w:p>
        </w:tc>
      </w:tr>
    </w:tbl>
    <w:p>
      <w:pPr>
        <w:pStyle w:val="style0"/>
        <w:jc w:val="center"/>
      </w:pPr>
      <w:r>
        <w:rPr>
          <w:b/>
        </w:rPr>
      </w:r>
    </w:p>
    <w:p>
      <w:pPr>
        <w:pStyle w:val="style0"/>
        <w:jc w:val="both"/>
      </w:pPr>
      <w:r>
        <w:rPr>
          <w:b/>
        </w:rPr>
        <w:t>Acceptance criteria:</w:t>
      </w:r>
    </w:p>
    <w:p>
      <w:pPr>
        <w:pStyle w:val="style0"/>
        <w:numPr>
          <w:ilvl w:val="0"/>
          <w:numId w:val="2"/>
        </w:numPr>
        <w:tabs>
          <w:tab w:leader="none" w:pos="720" w:val="left"/>
        </w:tabs>
      </w:pPr>
      <w:bookmarkStart w:id="20" w:name="__DdeLink__7826_126277332111"/>
      <w:bookmarkEnd w:id="20"/>
      <w:r>
        <w:rPr/>
        <w:t>The values must not exceed 80% of the load cell capacity (2400lbs for BSC and 1600lbs for HAM).</w:t>
      </w:r>
    </w:p>
    <w:p>
      <w:pPr>
        <w:pStyle w:val="style0"/>
      </w:pPr>
      <w:r>
        <w:rPr/>
      </w:r>
    </w:p>
    <w:p>
      <w:pPr>
        <w:pStyle w:val="style0"/>
        <w:tabs>
          <w:tab w:leader="none" w:pos="360" w:val="left"/>
          <w:tab w:leader="none" w:pos="5220" w:val="left"/>
          <w:tab w:leader="none" w:pos="7470" w:val="left"/>
        </w:tabs>
      </w:pPr>
      <w:bookmarkStart w:id="21" w:name="__DdeLink__7795_12627733211"/>
      <w:r>
        <w:rPr>
          <w:b/>
        </w:rPr>
        <w:t>Test result:</w:t>
        <w:tab/>
        <w:t xml:space="preserve">Passed: </w:t>
      </w:r>
      <w:r>
        <w:rPr>
          <w:b/>
          <w:u w:val="single"/>
        </w:rPr>
        <w:t xml:space="preserve">      </w:t>
      </w:r>
      <w:r>
        <w:rPr>
          <w:b/>
        </w:rPr>
        <w:tab/>
        <w:t xml:space="preserve">Failed: </w:t>
      </w:r>
      <w:r>
        <w:rPr>
          <w:b/>
          <w:u w:val="single"/>
        </w:rPr>
        <w:t xml:space="preserve">   X   </w:t>
      </w:r>
      <w:r>
        <w:rPr>
          <w:b/>
        </w:rPr>
        <w:t xml:space="preserve">  </w:t>
      </w:r>
      <w:bookmarkEnd w:id="21"/>
      <w:r>
        <w:rPr>
          <w:b/>
          <w:color w:val="FFFFFF"/>
        </w:rPr>
        <w:t>.</w:t>
      </w:r>
    </w:p>
    <w:p>
      <w:pPr>
        <w:pStyle w:val="style0"/>
        <w:suppressAutoHyphens w:val="false"/>
        <w:spacing w:after="200" w:before="0" w:line="276" w:lineRule="auto"/>
      </w:pPr>
      <w:r>
        <w:rPr/>
      </w:r>
    </w:p>
    <w:p>
      <w:pPr>
        <w:pStyle w:val="style2"/>
        <w:numPr>
          <w:ilvl w:val="1"/>
          <w:numId w:val="1"/>
        </w:numPr>
      </w:pPr>
      <w:bookmarkStart w:id="22" w:name="__RefHeading__23654_1262773321"/>
      <w:bookmarkStart w:id="23" w:name="__RefHeading__23849_1262773321"/>
      <w:bookmarkStart w:id="24" w:name="__RefHeading__160_870708744"/>
      <w:bookmarkStart w:id="25" w:name="__RefHeading__422_1185372569"/>
      <w:bookmarkStart w:id="26" w:name="__RefHeading__180_1185372569"/>
      <w:bookmarkStart w:id="27" w:name="__RefHeading__828_1185372569"/>
      <w:bookmarkStart w:id="28" w:name="__RefHeading__108_1080062798"/>
      <w:bookmarkStart w:id="29" w:name="__RefHeading__92_503471281"/>
      <w:bookmarkStart w:id="30" w:name="__RefHeading__23746_1262773321"/>
      <w:bookmarkStart w:id="31" w:name="__RefHeading__125_968872343"/>
      <w:bookmarkStart w:id="32" w:name="__RefHeading__143_78310084"/>
      <w:bookmarkStart w:id="33" w:name="_Toc244945156"/>
      <w:bookmarkEnd w:id="22"/>
      <w:bookmarkEnd w:id="23"/>
      <w:bookmarkEnd w:id="24"/>
      <w:bookmarkEnd w:id="25"/>
      <w:bookmarkEnd w:id="26"/>
      <w:bookmarkEnd w:id="27"/>
      <w:bookmarkEnd w:id="28"/>
      <w:bookmarkEnd w:id="29"/>
      <w:bookmarkEnd w:id="30"/>
      <w:bookmarkEnd w:id="31"/>
      <w:bookmarkEnd w:id="32"/>
      <w:bookmarkEnd w:id="33"/>
      <w:r>
        <w:rPr/>
        <w:t>Bellows</w:t>
      </w:r>
    </w:p>
    <w:p>
      <w:pPr>
        <w:pStyle w:val="style0"/>
      </w:pPr>
      <w:r>
        <w:rPr/>
      </w:r>
    </w:p>
    <w:p>
      <w:pPr>
        <w:pStyle w:val="style0"/>
        <w:jc w:val="both"/>
      </w:pPr>
      <w:r>
        <w:rPr/>
        <w:t>The bellows are hard to access and tests are hard to proceed. After several discussions and brainstorming sessions, it has been decided not to measure the gaps on HEPI-HAM and HEPI-BSC.</w:t>
      </w:r>
    </w:p>
    <w:p>
      <w:pPr>
        <w:pStyle w:val="style158"/>
        <w:suppressAutoHyphens w:val="false"/>
        <w:spacing w:after="0" w:before="240" w:line="276" w:lineRule="auto"/>
        <w:ind w:hanging="0" w:left="0" w:right="0"/>
      </w:pPr>
      <w:r>
        <w:rPr/>
      </w:r>
    </w:p>
    <w:p>
      <w:pPr>
        <w:pStyle w:val="style2"/>
        <w:numPr>
          <w:ilvl w:val="1"/>
          <w:numId w:val="1"/>
        </w:numPr>
      </w:pPr>
      <w:bookmarkStart w:id="34" w:name="__RefHeading__162_870708744"/>
      <w:bookmarkStart w:id="35" w:name="__RefHeading__830_1185372569"/>
      <w:bookmarkStart w:id="36" w:name="__RefHeading__424_1185372569"/>
      <w:bookmarkStart w:id="37" w:name="__RefHeading__182_1185372569"/>
      <w:bookmarkStart w:id="38" w:name="_Toc244945157"/>
      <w:bookmarkEnd w:id="34"/>
      <w:bookmarkEnd w:id="35"/>
      <w:bookmarkEnd w:id="36"/>
      <w:bookmarkEnd w:id="37"/>
      <w:bookmarkEnd w:id="38"/>
      <w:r>
        <w:rPr/>
        <w:t>Boot Location</w:t>
      </w:r>
    </w:p>
    <w:p>
      <w:pPr>
        <w:pStyle w:val="style0"/>
      </w:pPr>
      <w:r>
        <w:rPr/>
      </w:r>
    </w:p>
    <w:p>
      <w:pPr>
        <w:pStyle w:val="style0"/>
      </w:pPr>
      <w:r>
        <w:rPr>
          <w:b/>
        </w:rPr>
        <w:t xml:space="preserve">Tangential Left: 5.380” </w:t>
      </w:r>
    </w:p>
    <w:p>
      <w:pPr>
        <w:pStyle w:val="style0"/>
      </w:pPr>
      <w:r>
        <w:rPr>
          <w:b/>
        </w:rPr>
      </w:r>
    </w:p>
    <w:p>
      <w:pPr>
        <w:pStyle w:val="style0"/>
      </w:pPr>
      <w:r>
        <w:rPr/>
        <w:drawing>
          <wp:inline distB="0" distL="0" distR="0" distT="0">
            <wp:extent cx="2857500" cy="1914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Pr/>
        <w:drawing>
          <wp:inline distB="0" distL="0" distR="0" distT="0">
            <wp:extent cx="3057525" cy="2019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3057525" cy="2019300"/>
                    </a:xfrm>
                    <a:prstGeom prst="rect">
                      <a:avLst/>
                    </a:prstGeom>
                    <a:noFill/>
                    <a:ln w="9525">
                      <a:noFill/>
                      <a:miter lim="800000"/>
                      <a:headEnd/>
                      <a:tailEnd/>
                    </a:ln>
                  </pic:spPr>
                </pic:pic>
              </a:graphicData>
            </a:graphic>
          </wp:inline>
        </w:drawing>
      </w:r>
    </w:p>
    <w:p>
      <w:pPr>
        <w:pStyle w:val="style0"/>
      </w:pPr>
      <w:r>
        <w:rPr>
          <w:b/>
          <w:lang w:eastAsia="en-US"/>
        </w:rPr>
      </w:r>
    </w:p>
    <w:p>
      <w:pPr>
        <w:pStyle w:val="style0"/>
      </w:pPr>
      <w:r>
        <w:rPr>
          <w:b/>
          <w:lang w:eastAsia="en-US"/>
        </w:rPr>
        <w:t>Tangential Right: 5.380”</w:t>
      </w:r>
    </w:p>
    <w:p>
      <w:pPr>
        <w:pStyle w:val="style0"/>
      </w:pPr>
      <w:r>
        <w:rPr/>
      </w:r>
    </w:p>
    <w:p>
      <w:pPr>
        <w:pStyle w:val="style0"/>
        <w:jc w:val="center"/>
      </w:pPr>
      <w:bookmarkStart w:id="39" w:name="__RefHeading__184_1185372569"/>
      <w:bookmarkStart w:id="40" w:name="__RefHeading__164_870708744"/>
      <w:bookmarkStart w:id="41" w:name="__RefHeading__426_1185372569"/>
      <w:bookmarkStart w:id="42" w:name="__RefHeading__832_1185372569"/>
      <w:bookmarkEnd w:id="39"/>
      <w:bookmarkEnd w:id="40"/>
      <w:bookmarkEnd w:id="41"/>
      <w:bookmarkEnd w:id="42"/>
      <w:r>
        <w:rPr/>
        <w:drawing>
          <wp:inline distB="0" distL="0" distR="0" distT="0">
            <wp:extent cx="2828925" cy="22669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2828925" cy="2266950"/>
                    </a:xfrm>
                    <a:prstGeom prst="rect">
                      <a:avLst/>
                    </a:prstGeom>
                    <a:noFill/>
                    <a:ln w="9525">
                      <a:noFill/>
                      <a:miter lim="800000"/>
                      <a:headEnd/>
                      <a:tailEnd/>
                    </a:ln>
                  </pic:spPr>
                </pic:pic>
              </a:graphicData>
            </a:graphic>
          </wp:inline>
        </w:drawing>
      </w:r>
      <w:r>
        <w:rPr/>
        <w:t xml:space="preserve"> </w:t>
      </w:r>
      <w:r>
        <w:rPr/>
        <w:drawing>
          <wp:inline distB="0" distL="0" distR="0" distT="0">
            <wp:extent cx="2562225" cy="17049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2562225" cy="1704975"/>
                    </a:xfrm>
                    <a:prstGeom prst="rect">
                      <a:avLst/>
                    </a:prstGeom>
                    <a:noFill/>
                    <a:ln w="9525">
                      <a:noFill/>
                      <a:miter lim="800000"/>
                      <a:headEnd/>
                      <a:tailEnd/>
                    </a:ln>
                  </pic:spPr>
                </pic:pic>
              </a:graphicData>
            </a:graphic>
          </wp:inline>
        </w:drawing>
      </w:r>
    </w:p>
    <w:p>
      <w:pPr>
        <w:pStyle w:val="style2"/>
        <w:ind w:hanging="576" w:left="576" w:right="0"/>
        <w:jc w:val="center"/>
      </w:pPr>
      <w:r>
        <w:rPr/>
      </w:r>
    </w:p>
    <w:p>
      <w:pPr>
        <w:pStyle w:val="style0"/>
      </w:pPr>
      <w:r>
        <w:rPr/>
      </w:r>
    </w:p>
    <w:p>
      <w:pPr>
        <w:pStyle w:val="style0"/>
      </w:pPr>
      <w:r>
        <w:rPr/>
      </w:r>
    </w:p>
    <w:p>
      <w:pPr>
        <w:pStyle w:val="style0"/>
      </w:pPr>
      <w:r>
        <w:rPr/>
      </w:r>
    </w:p>
    <w:p>
      <w:pPr>
        <w:pStyle w:val="style0"/>
      </w:pPr>
      <w:r>
        <w:rPr/>
      </w:r>
    </w:p>
    <w:p>
      <w:pPr>
        <w:pStyle w:val="style0"/>
      </w:pPr>
      <w:r>
        <w:rPr>
          <w:b/>
        </w:rPr>
        <w:t>Radial Back: 1.17”</w:t>
      </w:r>
    </w:p>
    <w:p>
      <w:pPr>
        <w:pStyle w:val="style2"/>
        <w:ind w:hanging="576" w:left="576" w:right="0"/>
        <w:jc w:val="center"/>
      </w:pPr>
      <w:r>
        <w:rPr/>
      </w:r>
    </w:p>
    <w:p>
      <w:pPr>
        <w:pStyle w:val="style0"/>
        <w:jc w:val="center"/>
      </w:pPr>
      <w:bookmarkStart w:id="43" w:name="__RefHeading__166_870708744"/>
      <w:bookmarkStart w:id="44" w:name="__RefHeading__186_1185372569"/>
      <w:bookmarkStart w:id="45" w:name="__RefHeading__834_1185372569"/>
      <w:bookmarkStart w:id="46" w:name="__RefHeading__428_1185372569"/>
      <w:bookmarkEnd w:id="43"/>
      <w:bookmarkEnd w:id="44"/>
      <w:bookmarkEnd w:id="45"/>
      <w:bookmarkEnd w:id="46"/>
      <w:r>
        <w:rPr/>
        <w:drawing>
          <wp:inline distB="0" distL="0" distR="0" distT="0">
            <wp:extent cx="2761615" cy="20955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2761615" cy="2095500"/>
                    </a:xfrm>
                    <a:prstGeom prst="rect">
                      <a:avLst/>
                    </a:prstGeom>
                    <a:noFill/>
                    <a:ln w="9525">
                      <a:noFill/>
                      <a:miter lim="800000"/>
                      <a:headEnd/>
                      <a:tailEnd/>
                    </a:ln>
                  </pic:spPr>
                </pic:pic>
              </a:graphicData>
            </a:graphic>
          </wp:inline>
        </w:drawing>
      </w:r>
      <w:r>
        <w:rPr>
          <w:lang w:eastAsia="en-US"/>
        </w:rPr>
        <w:t xml:space="preserve">  </w:t>
      </w:r>
      <w:r>
        <w:rPr/>
        <w:drawing>
          <wp:inline distB="0" distL="0" distR="0" distT="0">
            <wp:extent cx="3048000" cy="2019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pPr>
        <w:pStyle w:val="style0"/>
      </w:pPr>
      <w:bookmarkStart w:id="47" w:name="__RefHeading__145_78310084"/>
      <w:bookmarkStart w:id="48" w:name="__RefHeading__94_503471281"/>
      <w:bookmarkStart w:id="49" w:name="__RefHeading__23851_1262773321"/>
      <w:bookmarkStart w:id="50" w:name="__RefHeading__110_1080062798"/>
      <w:bookmarkStart w:id="51" w:name="__RefHeading__23656_1262773321"/>
      <w:bookmarkStart w:id="52" w:name="__RefHeading__127_968872343"/>
      <w:bookmarkStart w:id="53" w:name="__RefHeading__23748_1262773321"/>
      <w:bookmarkStart w:id="54" w:name="__RefHeading__145_78310084"/>
      <w:bookmarkStart w:id="55" w:name="__RefHeading__94_503471281"/>
      <w:bookmarkStart w:id="56" w:name="__RefHeading__23851_1262773321"/>
      <w:bookmarkStart w:id="57" w:name="__RefHeading__110_1080062798"/>
      <w:bookmarkStart w:id="58" w:name="__RefHeading__23656_1262773321"/>
      <w:bookmarkStart w:id="59" w:name="__RefHeading__127_968872343"/>
      <w:bookmarkStart w:id="60" w:name="__RefHeading__23748_1262773321"/>
      <w:bookmarkEnd w:id="54"/>
      <w:bookmarkEnd w:id="55"/>
      <w:bookmarkEnd w:id="56"/>
      <w:bookmarkEnd w:id="57"/>
      <w:bookmarkEnd w:id="58"/>
      <w:bookmarkEnd w:id="59"/>
      <w:bookmarkEnd w:id="60"/>
      <w:r>
        <w:rPr>
          <w:lang w:eastAsia="en-US"/>
        </w:rPr>
      </w:r>
    </w:p>
    <w:p>
      <w:pPr>
        <w:pStyle w:val="style0"/>
      </w:pPr>
      <w:r>
        <w:rPr/>
      </w:r>
    </w:p>
    <w:p>
      <w:pPr>
        <w:pStyle w:val="style0"/>
      </w:pPr>
      <w:r>
        <w:rPr>
          <w:b/>
        </w:rPr>
        <w:t>Radial Front: 1.42”</w:t>
      </w:r>
    </w:p>
    <w:p>
      <w:pPr>
        <w:pStyle w:val="style0"/>
      </w:pPr>
      <w:r>
        <w:rPr/>
      </w:r>
    </w:p>
    <w:p>
      <w:pPr>
        <w:pStyle w:val="style0"/>
        <w:jc w:val="center"/>
      </w:pPr>
      <w:r>
        <w:rPr/>
        <w:drawing>
          <wp:inline distB="0" distL="0" distR="0" distT="0">
            <wp:extent cx="3209925" cy="22574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3209925" cy="2257425"/>
                    </a:xfrm>
                    <a:prstGeom prst="rect">
                      <a:avLst/>
                    </a:prstGeom>
                    <a:noFill/>
                    <a:ln w="9525">
                      <a:noFill/>
                      <a:miter lim="800000"/>
                      <a:headEnd/>
                      <a:tailEnd/>
                    </a:ln>
                  </pic:spPr>
                </pic:pic>
              </a:graphicData>
            </a:graphic>
          </wp:inline>
        </w:drawing>
      </w:r>
      <w:r>
        <w:rPr>
          <w:lang w:eastAsia="en-US"/>
        </w:rPr>
        <w:t xml:space="preserve">    </w:t>
      </w:r>
      <w:r>
        <w:rPr/>
        <w:drawing>
          <wp:inline distB="0" distL="0" distR="0" distT="0">
            <wp:extent cx="2886075" cy="21805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2886075" cy="218059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b/>
        </w:rPr>
        <w:t>Vertical: 0.32”</w:t>
      </w:r>
    </w:p>
    <w:p>
      <w:pPr>
        <w:pStyle w:val="style0"/>
      </w:pPr>
      <w:r>
        <w:rPr>
          <w:b/>
        </w:rPr>
      </w:r>
    </w:p>
    <w:p>
      <w:pPr>
        <w:pStyle w:val="style0"/>
        <w:jc w:val="center"/>
      </w:pPr>
      <w:r>
        <w:rPr/>
        <w:drawing>
          <wp:inline distB="0" distL="0" distR="0" distT="0">
            <wp:extent cx="3086100" cy="23717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3086100" cy="2371725"/>
                    </a:xfrm>
                    <a:prstGeom prst="rect">
                      <a:avLst/>
                    </a:prstGeom>
                    <a:noFill/>
                    <a:ln w="9525">
                      <a:noFill/>
                      <a:miter lim="800000"/>
                      <a:headEnd/>
                      <a:tailEnd/>
                    </a:ln>
                  </pic:spPr>
                </pic:pic>
              </a:graphicData>
            </a:graphic>
          </wp:inline>
        </w:drawing>
      </w:r>
      <w:r>
        <w:rPr>
          <w:lang w:eastAsia="en-US"/>
        </w:rPr>
        <w:t xml:space="preserve">   </w:t>
      </w:r>
      <w:r>
        <w:rPr/>
        <w:drawing>
          <wp:inline distB="0" distL="0" distR="0" distT="0">
            <wp:extent cx="2657475" cy="17716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pPr>
        <w:pStyle w:val="style0"/>
        <w:pageBreakBefore/>
      </w:pPr>
      <w:r>
        <w:rPr/>
        <w:drawing>
          <wp:inline distB="0" distL="0" distR="0" distT="0">
            <wp:extent cx="6124575" cy="1914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6124575" cy="1914525"/>
                    </a:xfrm>
                    <a:prstGeom prst="rect">
                      <a:avLst/>
                    </a:prstGeom>
                    <a:noFill/>
                    <a:ln w="9525">
                      <a:noFill/>
                      <a:miter lim="800000"/>
                      <a:headEnd/>
                      <a:tailEnd/>
                    </a:ln>
                  </pic:spPr>
                </pic:pic>
              </a:graphicData>
            </a:graphic>
          </wp:inline>
        </w:drawing>
      </w:r>
    </w:p>
    <w:p>
      <w:pPr>
        <w:pStyle w:val="style0"/>
      </w:pPr>
      <w:r>
        <w:rPr/>
      </w:r>
    </w:p>
    <w:p>
      <w:pPr>
        <w:pStyle w:val="style0"/>
      </w:pPr>
      <w:r>
        <w:rPr/>
        <w:drawing>
          <wp:inline distB="0" distL="0" distR="0" distT="0">
            <wp:extent cx="6238875" cy="19431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6238875" cy="1943100"/>
                    </a:xfrm>
                    <a:prstGeom prst="rect">
                      <a:avLst/>
                    </a:prstGeom>
                    <a:noFill/>
                    <a:ln w="9525">
                      <a:noFill/>
                      <a:miter lim="800000"/>
                      <a:headEnd/>
                      <a:tailEnd/>
                    </a:ln>
                  </pic:spPr>
                </pic:pic>
              </a:graphicData>
            </a:graphic>
          </wp:inline>
        </w:drawing>
      </w:r>
    </w:p>
    <w:p>
      <w:pPr>
        <w:pStyle w:val="style0"/>
      </w:pPr>
      <w:r>
        <w:rPr/>
      </w:r>
    </w:p>
    <w:p>
      <w:pPr>
        <w:pStyle w:val="style0"/>
      </w:pPr>
      <w:r>
        <w:rPr>
          <w:b/>
        </w:rPr>
        <w:t>Acceptance criteria:</w:t>
      </w:r>
    </w:p>
    <w:p>
      <w:pPr>
        <w:pStyle w:val="style0"/>
        <w:numPr>
          <w:ilvl w:val="0"/>
          <w:numId w:val="2"/>
        </w:numPr>
        <w:tabs>
          <w:tab w:leader="none" w:pos="720" w:val="left"/>
        </w:tabs>
      </w:pPr>
      <w:bookmarkStart w:id="61" w:name="__DdeLink__7826_126277332112"/>
      <w:bookmarkStart w:id="62" w:name="__DdeLink__7826_126277332112"/>
      <w:bookmarkEnd w:id="62"/>
      <w:r>
        <w:rPr/>
      </w:r>
    </w:p>
    <w:p>
      <w:pPr>
        <w:pStyle w:val="style0"/>
      </w:pPr>
      <w:r>
        <w:rPr/>
      </w:r>
    </w:p>
    <w:p>
      <w:pPr>
        <w:pStyle w:val="style0"/>
        <w:tabs>
          <w:tab w:leader="none" w:pos="360" w:val="left"/>
          <w:tab w:leader="none" w:pos="5220" w:val="left"/>
          <w:tab w:leader="none" w:pos="7470" w:val="left"/>
        </w:tabs>
      </w:pPr>
      <w:bookmarkStart w:id="63" w:name="__DdeLink__7795_12627733212"/>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bookmarkEnd w:id="63"/>
      <w:r>
        <w:rPr>
          <w:b/>
          <w:color w:val="FFFFFF"/>
        </w:rPr>
        <w:t>.</w:t>
      </w:r>
    </w:p>
    <w:p>
      <w:pPr>
        <w:pStyle w:val="style0"/>
        <w:suppressAutoHyphens w:val="false"/>
        <w:spacing w:after="200" w:before="0" w:line="276" w:lineRule="auto"/>
      </w:pPr>
      <w:r>
        <w:rPr/>
      </w:r>
    </w:p>
    <w:p>
      <w:pPr>
        <w:pStyle w:val="style0"/>
        <w:suppressAutoHyphens w:val="false"/>
        <w:spacing w:after="200" w:before="0" w:line="276" w:lineRule="auto"/>
      </w:pPr>
      <w:r>
        <w:rPr>
          <w:color w:val="FF3366"/>
        </w:rPr>
        <w:t>Argument for by bypassing this test.</w:t>
      </w:r>
    </w:p>
    <w:p>
      <w:pPr>
        <w:pStyle w:val="style0"/>
        <w:suppressAutoHyphens w:val="false"/>
        <w:spacing w:after="200" w:before="0" w:line="276" w:lineRule="auto"/>
      </w:pPr>
      <w:r>
        <w:rPr>
          <w:color w:val="FF3366"/>
        </w:rPr>
        <w:t>In a world of perfect fabrication &amp; assembly and never moving the Crossbeam location, this data might be useful.  It might have made sense to make these measurements during initial assembly of each housing assembly but we used jigs to position the Foot in the Housing and so these would have been perfect.  And, we aren't going back to that state—back to individual housings.</w:t>
      </w:r>
    </w:p>
    <w:p>
      <w:pPr>
        <w:pStyle w:val="style0"/>
        <w:suppressAutoHyphens w:val="false"/>
        <w:spacing w:after="200" w:before="0" w:line="276" w:lineRule="auto"/>
      </w:pPr>
      <w:r>
        <w:rPr>
          <w:color w:val="FF3366"/>
        </w:rPr>
        <w:t>However, after installation, the platforms are moved, often more than a couple mm, in response to the initial alignment.  Additionally, when payloaded the HAM HEPI Crossbeam twists tilting the Foot in the Housing.  The measurements made do not really check any clearances.  If the fabrication of the Housing and the Foot were perfect and the IAS shift and payloading shifts did not occur, it would give an indication of potential clearance problems elsewhere.</w:t>
      </w:r>
    </w:p>
    <w:p>
      <w:pPr>
        <w:pStyle w:val="style0"/>
        <w:suppressAutoHyphens w:val="false"/>
        <w:spacing w:after="200" w:before="0" w:line="276" w:lineRule="auto"/>
      </w:pPr>
      <w:r>
        <w:rPr/>
      </w:r>
    </w:p>
    <w:p>
      <w:pPr>
        <w:pStyle w:val="style0"/>
        <w:suppressAutoHyphens w:val="false"/>
        <w:spacing w:after="200" w:before="0" w:line="276" w:lineRule="auto"/>
      </w:pPr>
      <w:r>
        <w:rPr/>
      </w:r>
    </w:p>
    <w:p>
      <w:pPr>
        <w:pStyle w:val="style0"/>
        <w:suppressAutoHyphens w:val="false"/>
        <w:spacing w:after="200" w:before="0" w:line="276" w:lineRule="auto"/>
      </w:pPr>
      <w:r>
        <w:rPr/>
      </w:r>
    </w:p>
    <w:p>
      <w:pPr>
        <w:pStyle w:val="style2"/>
        <w:numPr>
          <w:ilvl w:val="1"/>
          <w:numId w:val="1"/>
        </w:numPr>
        <w:suppressAutoHyphens w:val="false"/>
        <w:spacing w:after="200" w:before="0" w:line="276" w:lineRule="auto"/>
      </w:pPr>
      <w:bookmarkStart w:id="64" w:name="__RefHeading__836_1185372569"/>
      <w:bookmarkStart w:id="65" w:name="_Toc244945158"/>
      <w:bookmarkEnd w:id="64"/>
      <w:bookmarkEnd w:id="65"/>
      <w:r>
        <w:rPr/>
        <w:t>Check Stops Gaps</w:t>
      </w:r>
    </w:p>
    <w:p>
      <w:pPr>
        <w:pStyle w:val="style0"/>
        <w:suppressAutoHyphens w:val="false"/>
        <w:spacing w:after="200" w:before="0" w:line="276" w:lineRule="auto"/>
      </w:pPr>
      <w:r>
        <w:rPr/>
        <w:t xml:space="preserve">The stops must not touch the boot. There is 15 stops per boot, 5 per F bracket.  </w:t>
      </w:r>
      <w:r>
        <w:rPr>
          <w:color w:val="FF3366"/>
        </w:rPr>
        <w:t>There is actually only 13 stops and one of those is not accessible.</w:t>
      </w:r>
    </w:p>
    <w:p>
      <w:pPr>
        <w:pStyle w:val="style0"/>
        <w:suppressAutoHyphens w:val="false"/>
        <w:spacing w:after="200" w:before="0" w:line="276" w:lineRule="auto"/>
      </w:pPr>
      <w:r>
        <w:rPr/>
        <w:t xml:space="preserve">Argument for bypassing this test:  </w:t>
      </w:r>
      <w:r>
        <w:rPr>
          <w:color w:val="FF3366"/>
        </w:rPr>
        <w:t xml:space="preserve">If these stops were used as an Earthquake stop and set to an exact depth, and, if they were never locked again after setting, maybe then it would be worth doing this.  But the locks have been opened and closed many times during the commissioning of the platform so only the last time would it really have any validity.  When unlocking the platforms, these gaps (where visible, are check visually and are opened way more than 1/16”. </w:t>
      </w:r>
    </w:p>
    <w:p>
      <w:pPr>
        <w:pStyle w:val="style0"/>
        <w:suppressAutoHyphens w:val="false"/>
        <w:spacing w:after="200" w:before="0" w:line="276" w:lineRule="auto"/>
      </w:pPr>
      <w:r>
        <w:rPr/>
      </w:r>
    </w:p>
    <w:p>
      <w:pPr>
        <w:pStyle w:val="style0"/>
        <w:suppressAutoHyphens w:val="false"/>
        <w:spacing w:after="200" w:before="0" w:line="276" w:lineRule="auto"/>
      </w:pPr>
      <w:r>
        <w:rPr/>
      </w:r>
    </w:p>
    <w:p>
      <w:pPr>
        <w:pStyle w:val="style0"/>
        <w:suppressAutoHyphens w:val="false"/>
        <w:spacing w:after="200" w:before="0" w:line="276" w:lineRule="auto"/>
      </w:pPr>
      <w:r>
        <w:rPr/>
        <w:drawing>
          <wp:inline distB="0" distL="0" distR="0" distT="0">
            <wp:extent cx="6248400" cy="5715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6248400" cy="5715000"/>
                    </a:xfrm>
                    <a:prstGeom prst="rect">
                      <a:avLst/>
                    </a:prstGeom>
                    <a:noFill/>
                    <a:ln w="9525">
                      <a:noFill/>
                      <a:miter lim="800000"/>
                      <a:headEnd/>
                      <a:tailEnd/>
                    </a:ln>
                  </pic:spPr>
                </pic:pic>
              </a:graphicData>
            </a:graphic>
          </wp:inline>
        </w:drawing>
      </w:r>
    </w:p>
    <w:p>
      <w:pPr>
        <w:pStyle w:val="style0"/>
      </w:pPr>
      <w:r>
        <w:rPr>
          <w:b/>
        </w:rPr>
      </w:r>
    </w:p>
    <w:p>
      <w:pPr>
        <w:pStyle w:val="style0"/>
      </w:pPr>
      <w:r>
        <w:rPr>
          <w:b/>
        </w:rPr>
        <w:t>Acceptance criteria:</w:t>
      </w:r>
    </w:p>
    <w:p>
      <w:pPr>
        <w:pStyle w:val="style0"/>
        <w:numPr>
          <w:ilvl w:val="0"/>
          <w:numId w:val="2"/>
        </w:numPr>
        <w:tabs>
          <w:tab w:leader="none" w:pos="720" w:val="left"/>
        </w:tabs>
      </w:pPr>
      <w:bookmarkStart w:id="66" w:name="__DdeLink__7826_1262773321121"/>
      <w:bookmarkEnd w:id="66"/>
      <w:r>
        <w:rPr/>
        <w:t>A 0.062” shim must fit into the gaps</w:t>
      </w:r>
    </w:p>
    <w:p>
      <w:pPr>
        <w:pStyle w:val="style0"/>
      </w:pPr>
      <w:r>
        <w:rPr/>
      </w:r>
    </w:p>
    <w:p>
      <w:pPr>
        <w:pStyle w:val="style0"/>
        <w:tabs>
          <w:tab w:leader="none" w:pos="360" w:val="left"/>
          <w:tab w:leader="none" w:pos="5220" w:val="left"/>
          <w:tab w:leader="none" w:pos="7470" w:val="left"/>
        </w:tabs>
        <w:suppressAutoHyphens w:val="false"/>
        <w:spacing w:after="200" w:before="0" w:line="276" w:lineRule="auto"/>
      </w:pPr>
      <w:r>
        <w:rPr>
          <w:b/>
        </w:rPr>
      </w:r>
    </w:p>
    <w:p>
      <w:pPr>
        <w:pStyle w:val="style0"/>
        <w:tabs>
          <w:tab w:leader="none" w:pos="360" w:val="left"/>
          <w:tab w:leader="none" w:pos="5220" w:val="left"/>
          <w:tab w:leader="none" w:pos="7470" w:val="left"/>
        </w:tabs>
        <w:suppressAutoHyphens w:val="false"/>
        <w:spacing w:after="200" w:before="0" w:line="276" w:lineRule="auto"/>
      </w:pPr>
      <w:r>
        <w:rPr/>
        <w:drawing>
          <wp:anchor allowOverlap="1" behindDoc="0" distB="0" distL="0" distR="0" distT="0" layoutInCell="1" locked="0" relativeHeight="0" simplePos="0">
            <wp:simplePos x="0" y="0"/>
            <wp:positionH relativeFrom="character">
              <wp:posOffset>82550</wp:posOffset>
            </wp:positionH>
            <wp:positionV relativeFrom="line">
              <wp:posOffset>-1932940</wp:posOffset>
            </wp:positionV>
            <wp:extent cx="2866390" cy="431736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2866390" cy="4317365"/>
                    </a:xfrm>
                    <a:prstGeom prst="rect">
                      <a:avLst/>
                    </a:prstGeom>
                    <a:noFill/>
                    <a:ln w="9525">
                      <a:noFill/>
                      <a:miter lim="800000"/>
                      <a:headEnd/>
                      <a:tailEnd/>
                    </a:ln>
                  </pic:spPr>
                </pic:pic>
              </a:graphicData>
            </a:graphic>
          </wp:anchor>
        </w:drawing>
      </w:r>
    </w:p>
    <w:p>
      <w:pPr>
        <w:pStyle w:val="style0"/>
      </w:pPr>
      <w:r>
        <w:rPr/>
        <w:t xml:space="preserve">       </w:t>
      </w:r>
    </w:p>
    <w:p>
      <w:pPr>
        <w:pStyle w:val="style0"/>
      </w:pPr>
      <w:r>
        <w:rPr/>
      </w:r>
    </w:p>
    <w:p>
      <w:pPr>
        <w:pStyle w:val="style0"/>
      </w:pPr>
      <w:r>
        <w:rPr/>
        <w:drawing>
          <wp:anchor allowOverlap="1" behindDoc="0" distB="0" distL="0" distR="0" distT="0" layoutInCell="1" locked="0" relativeHeight="0" simplePos="0">
            <wp:simplePos x="0" y="0"/>
            <wp:positionH relativeFrom="character">
              <wp:posOffset>695960</wp:posOffset>
            </wp:positionH>
            <wp:positionV relativeFrom="line">
              <wp:posOffset>67945</wp:posOffset>
            </wp:positionV>
            <wp:extent cx="2468245" cy="163766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2468245" cy="1637665"/>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0" simplePos="0">
            <wp:simplePos x="0" y="0"/>
            <wp:positionH relativeFrom="character">
              <wp:posOffset>178435</wp:posOffset>
            </wp:positionH>
            <wp:positionV relativeFrom="line">
              <wp:posOffset>72390</wp:posOffset>
            </wp:positionV>
            <wp:extent cx="3010535" cy="199771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3010535" cy="199771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pPr>
      <w:r>
        <w:rPr/>
      </w:r>
    </w:p>
    <w:tbl>
      <w:tblPr>
        <w:jc w:val="left"/>
        <w:tblBorders>
          <w:top w:color="000001" w:space="0" w:sz="2" w:val="single"/>
          <w:left w:color="000001" w:space="0" w:sz="2" w:val="single"/>
          <w:bottom w:color="000001" w:space="0" w:sz="2" w:val="single"/>
        </w:tblBorders>
      </w:tblPr>
      <w:tblGrid>
        <w:gridCol w:w="463"/>
        <w:gridCol w:w="2866"/>
        <w:gridCol w:w="2879"/>
        <w:gridCol w:w="2892"/>
      </w:tblGrid>
      <w:tr>
        <w:trPr>
          <w:trHeight w:hRule="atLeast" w:val="211"/>
          <w:cantSplit w:val="false"/>
        </w:trPr>
        <w:tc>
          <w:tcPr>
            <w:tcW w:type="dxa" w:w="46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16"/>
                <w:szCs w:val="16"/>
              </w:rPr>
            </w:r>
          </w:p>
        </w:tc>
        <w:tc>
          <w:tcPr>
            <w:tcW w:type="dxa" w:w="2866"/>
            <w:gridSpan w:val="6"/>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Bracket 1</w:t>
            </w:r>
          </w:p>
        </w:tc>
        <w:tc>
          <w:tcPr>
            <w:tcW w:type="dxa" w:w="2879"/>
            <w:gridSpan w:val="6"/>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Bracket 2</w:t>
            </w:r>
          </w:p>
        </w:tc>
        <w:tc>
          <w:tcPr>
            <w:tcW w:type="dxa" w:w="2892"/>
            <w:gridSpan w:val="6"/>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sz w:val="16"/>
                <w:szCs w:val="16"/>
              </w:rPr>
              <w:t>Bracket 3</w:t>
            </w:r>
          </w:p>
        </w:tc>
      </w:tr>
      <w:tr>
        <w:trPr>
          <w:trHeight w:hRule="atLeast" w:val="211"/>
          <w:cantSplit w:val="false"/>
        </w:trPr>
        <w:tc>
          <w:tcPr>
            <w:tcW w:type="dxa" w:w="46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r>
          </w:p>
        </w:tc>
        <w:tc>
          <w:tcPr>
            <w:tcW w:type="dxa" w:w="436"/>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Gap1</w:t>
            </w:r>
          </w:p>
        </w:tc>
        <w:tc>
          <w:tcPr>
            <w:tcW w:type="dxa" w:w="44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Gap2</w:t>
            </w:r>
          </w:p>
        </w:tc>
        <w:tc>
          <w:tcPr>
            <w:tcW w:type="dxa" w:w="45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Gap3</w:t>
            </w:r>
          </w:p>
        </w:tc>
        <w:tc>
          <w:tcPr>
            <w:tcW w:type="dxa" w:w="52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above</w:t>
            </w:r>
          </w:p>
        </w:tc>
        <w:tc>
          <w:tcPr>
            <w:tcW w:type="dxa" w:w="556"/>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under</w:t>
            </w:r>
          </w:p>
        </w:tc>
        <w:tc>
          <w:tcPr>
            <w:tcW w:type="dxa" w:w="45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Gap5</w:t>
            </w:r>
          </w:p>
        </w:tc>
        <w:tc>
          <w:tcPr>
            <w:tcW w:type="dxa" w:w="44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Gap1</w:t>
            </w:r>
          </w:p>
        </w:tc>
        <w:tc>
          <w:tcPr>
            <w:tcW w:type="dxa" w:w="40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Gap2</w:t>
            </w:r>
          </w:p>
        </w:tc>
        <w:tc>
          <w:tcPr>
            <w:tcW w:type="dxa" w:w="46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Gap3</w:t>
            </w:r>
          </w:p>
        </w:tc>
        <w:tc>
          <w:tcPr>
            <w:tcW w:type="dxa" w:w="53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above</w:t>
            </w:r>
          </w:p>
        </w:tc>
        <w:tc>
          <w:tcPr>
            <w:tcW w:type="dxa" w:w="59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under</w:t>
            </w:r>
          </w:p>
        </w:tc>
        <w:tc>
          <w:tcPr>
            <w:tcW w:type="dxa" w:w="42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Gap5</w:t>
            </w:r>
          </w:p>
        </w:tc>
        <w:tc>
          <w:tcPr>
            <w:tcW w:type="dxa" w:w="44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Gap1</w:t>
            </w:r>
          </w:p>
        </w:tc>
        <w:tc>
          <w:tcPr>
            <w:tcW w:type="dxa" w:w="45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Gap2</w:t>
            </w:r>
          </w:p>
        </w:tc>
        <w:tc>
          <w:tcPr>
            <w:tcW w:type="dxa" w:w="449"/>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Gap3</w:t>
            </w:r>
          </w:p>
        </w:tc>
        <w:tc>
          <w:tcPr>
            <w:tcW w:type="dxa" w:w="54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above</w:t>
            </w:r>
          </w:p>
        </w:tc>
        <w:tc>
          <w:tcPr>
            <w:tcW w:type="dxa" w:w="54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Gap4 under</w:t>
            </w:r>
          </w:p>
        </w:tc>
        <w:tc>
          <w:tcPr>
            <w:tcW w:type="dxa" w:w="468"/>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sz w:val="16"/>
                <w:szCs w:val="16"/>
              </w:rPr>
              <w:t>Gap5</w:t>
            </w:r>
          </w:p>
        </w:tc>
      </w:tr>
      <w:tr>
        <w:trPr>
          <w:trHeight w:hRule="atLeast" w:val="211"/>
          <w:cantSplit w:val="false"/>
        </w:trPr>
        <w:tc>
          <w:tcPr>
            <w:tcW w:type="dxa" w:w="46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Pier 1</w:t>
            </w:r>
          </w:p>
        </w:tc>
        <w:tc>
          <w:tcPr>
            <w:tcW w:type="dxa" w:w="43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23"/>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5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0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3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9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2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8"/>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r>
      <w:tr>
        <w:trPr>
          <w:trHeight w:hRule="atLeast" w:val="211"/>
          <w:cantSplit w:val="false"/>
        </w:trPr>
        <w:tc>
          <w:tcPr>
            <w:tcW w:type="dxa" w:w="46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Pier 2</w:t>
            </w:r>
          </w:p>
        </w:tc>
        <w:tc>
          <w:tcPr>
            <w:tcW w:type="dxa" w:w="43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23"/>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5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0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3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9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2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8"/>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r>
      <w:tr>
        <w:trPr>
          <w:trHeight w:hRule="atLeast" w:val="211"/>
          <w:cantSplit w:val="false"/>
        </w:trPr>
        <w:tc>
          <w:tcPr>
            <w:tcW w:type="dxa" w:w="46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Pier 3</w:t>
            </w:r>
          </w:p>
        </w:tc>
        <w:tc>
          <w:tcPr>
            <w:tcW w:type="dxa" w:w="43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23"/>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5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0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3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9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2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8"/>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r>
      <w:tr>
        <w:trPr>
          <w:trHeight w:hRule="atLeast" w:val="211"/>
          <w:cantSplit w:val="false"/>
        </w:trPr>
        <w:tc>
          <w:tcPr>
            <w:tcW w:type="dxa" w:w="46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16"/>
                <w:szCs w:val="16"/>
              </w:rPr>
              <w:t>Pier 4</w:t>
            </w:r>
          </w:p>
        </w:tc>
        <w:tc>
          <w:tcPr>
            <w:tcW w:type="dxa" w:w="43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23"/>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56"/>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0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5"/>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3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9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2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5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49"/>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540"/>
            <w:tcBorders>
              <w:left w:color="000001" w:space="0" w:sz="2" w:val="single"/>
              <w:bottom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c>
          <w:tcPr>
            <w:tcW w:type="dxa" w:w="468"/>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0"/>
              <w:jc w:val="center"/>
            </w:pPr>
            <w:r>
              <w:rPr>
                <w:sz w:val="16"/>
                <w:szCs w:val="16"/>
              </w:rPr>
              <w:t>Go</w:t>
            </w:r>
          </w:p>
        </w:tc>
      </w:tr>
    </w:tbl>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p>
    <w:p>
      <w:pPr>
        <w:pStyle w:val="style0"/>
        <w:tabs>
          <w:tab w:leader="none" w:pos="360" w:val="left"/>
          <w:tab w:leader="none" w:pos="5220" w:val="left"/>
          <w:tab w:leader="none" w:pos="7470" w:val="left"/>
        </w:tabs>
        <w:suppressAutoHyphens w:val="false"/>
        <w:spacing w:after="200" w:before="0" w:line="276" w:lineRule="auto"/>
      </w:pPr>
      <w:r>
        <w:rPr/>
      </w:r>
    </w:p>
    <w:p>
      <w:pPr>
        <w:pStyle w:val="style2"/>
        <w:numPr>
          <w:ilvl w:val="1"/>
          <w:numId w:val="1"/>
        </w:numPr>
      </w:pPr>
      <w:bookmarkStart w:id="67" w:name="__RefHeading__170_870708744"/>
      <w:bookmarkStart w:id="68" w:name="__RefHeading__838_1185372569"/>
      <w:bookmarkStart w:id="69" w:name="__RefHeading__190_1185372569"/>
      <w:bookmarkStart w:id="70" w:name="__RefHeading__432_1185372569"/>
      <w:bookmarkStart w:id="71" w:name="_Toc244945159"/>
      <w:bookmarkEnd w:id="67"/>
      <w:bookmarkEnd w:id="68"/>
      <w:bookmarkEnd w:id="69"/>
      <w:bookmarkEnd w:id="70"/>
      <w:bookmarkEnd w:id="71"/>
      <w:r>
        <w:rPr/>
        <w:t>Gaps check</w:t>
      </w:r>
    </w:p>
    <w:p>
      <w:pPr>
        <w:pStyle w:val="style0"/>
      </w:pPr>
      <w:r>
        <w:rPr/>
        <w:t>Four  particular gaps need to be check.</w:t>
      </w:r>
    </w:p>
    <w:p>
      <w:pPr>
        <w:pStyle w:val="style0"/>
      </w:pPr>
      <w:r>
        <w:rPr>
          <w:color w:val="FF3366"/>
        </w:rPr>
        <w:t>Argument against checking these Gaps:  All subsequent actuation test confirm that these close points are not touching.  These are checked visually and by hand however.  Maybe now however, that we have a final IFO operation point, these gaps should be checked again.</w:t>
      </w:r>
    </w:p>
    <w:p>
      <w:pPr>
        <w:pStyle w:val="style0"/>
      </w:pPr>
      <w:r>
        <w:rPr/>
      </w:r>
    </w:p>
    <w:p>
      <w:pPr>
        <w:pStyle w:val="style0"/>
        <w:jc w:val="center"/>
      </w:pPr>
      <w:r>
        <w:rPr/>
        <w:drawing>
          <wp:inline distB="0" distL="0" distR="0" distT="0">
            <wp:extent cx="5362575" cy="35147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5"/>
                    <a:srcRect/>
                    <a:stretch>
                      <a:fillRect/>
                    </a:stretch>
                  </pic:blipFill>
                  <pic:spPr bwMode="auto">
                    <a:xfrm>
                      <a:off x="0" y="0"/>
                      <a:ext cx="5362575" cy="3514725"/>
                    </a:xfrm>
                    <a:prstGeom prst="rect">
                      <a:avLst/>
                    </a:prstGeom>
                    <a:noFill/>
                    <a:ln w="9525">
                      <a:noFill/>
                      <a:miter lim="800000"/>
                      <a:headEnd/>
                      <a:tailEnd/>
                    </a:ln>
                  </pic:spPr>
                </pic:pic>
              </a:graphicData>
            </a:graphic>
          </wp:inline>
        </w:drawing>
      </w:r>
    </w:p>
    <w:p>
      <w:pPr>
        <w:pStyle w:val="style0"/>
        <w:tabs>
          <w:tab w:leader="none" w:pos="360" w:val="left"/>
          <w:tab w:leader="none" w:pos="5220" w:val="left"/>
          <w:tab w:leader="none" w:pos="7470" w:val="left"/>
        </w:tabs>
        <w:suppressAutoHyphens w:val="false"/>
        <w:spacing w:after="200" w:before="0" w:line="276" w:lineRule="auto"/>
        <w:jc w:val="center"/>
      </w:pPr>
      <w:r>
        <w:rPr>
          <w:b/>
          <w:sz w:val="20"/>
          <w:szCs w:val="20"/>
        </w:rPr>
        <w:t>The F bracket has been removed for a better visibility</w:t>
      </w:r>
    </w:p>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drawing>
          <wp:inline distB="0" distL="0" distR="0" distT="0">
            <wp:extent cx="2914650" cy="2295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6"/>
                    <a:srcRect/>
                    <a:stretch>
                      <a:fillRect/>
                    </a:stretch>
                  </pic:blipFill>
                  <pic:spPr bwMode="auto">
                    <a:xfrm>
                      <a:off x="0" y="0"/>
                      <a:ext cx="2914650" cy="2295525"/>
                    </a:xfrm>
                    <a:prstGeom prst="rect">
                      <a:avLst/>
                    </a:prstGeom>
                    <a:noFill/>
                    <a:ln w="9525">
                      <a:noFill/>
                      <a:miter lim="800000"/>
                      <a:headEnd/>
                      <a:tailEnd/>
                    </a:ln>
                  </pic:spPr>
                </pic:pic>
              </a:graphicData>
            </a:graphic>
          </wp:inline>
        </w:drawing>
      </w:r>
      <w:r>
        <w:rPr/>
        <w:drawing>
          <wp:inline distB="0" distL="0" distR="0" distT="0">
            <wp:extent cx="3209925" cy="23336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3209925" cy="2333625"/>
                    </a:xfrm>
                    <a:prstGeom prst="rect">
                      <a:avLst/>
                    </a:prstGeom>
                    <a:noFill/>
                    <a:ln w="9525">
                      <a:noFill/>
                      <a:miter lim="800000"/>
                      <a:headEnd/>
                      <a:tailEnd/>
                    </a:ln>
                  </pic:spPr>
                </pic:pic>
              </a:graphicData>
            </a:graphic>
          </wp:inline>
        </w:drawing>
      </w:r>
    </w:p>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r>
    </w:p>
    <w:p>
      <w:pPr>
        <w:pStyle w:val="style0"/>
        <w:tabs>
          <w:tab w:leader="none" w:pos="360" w:val="left"/>
          <w:tab w:leader="none" w:pos="5220" w:val="left"/>
          <w:tab w:leader="none" w:pos="7470" w:val="left"/>
        </w:tabs>
        <w:suppressAutoHyphens w:val="false"/>
        <w:spacing w:after="200" w:before="0" w:line="276" w:lineRule="auto"/>
      </w:pPr>
      <w:r>
        <w:rPr/>
        <w:drawing>
          <wp:inline distB="0" distL="0" distR="0" distT="0">
            <wp:extent cx="6238875" cy="67151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8"/>
                    <a:srcRect/>
                    <a:stretch>
                      <a:fillRect/>
                    </a:stretch>
                  </pic:blipFill>
                  <pic:spPr bwMode="auto">
                    <a:xfrm>
                      <a:off x="0" y="0"/>
                      <a:ext cx="6238875" cy="6715125"/>
                    </a:xfrm>
                    <a:prstGeom prst="rect">
                      <a:avLst/>
                    </a:prstGeom>
                    <a:noFill/>
                    <a:ln w="9525">
                      <a:noFill/>
                      <a:miter lim="800000"/>
                      <a:headEnd/>
                      <a:tailEnd/>
                    </a:ln>
                  </pic:spPr>
                </pic:pic>
              </a:graphicData>
            </a:graphic>
          </wp:inline>
        </w:drawing>
      </w:r>
    </w:p>
    <w:p>
      <w:pPr>
        <w:pStyle w:val="style177"/>
        <w:spacing w:after="120" w:before="0"/>
        <w:jc w:val="center"/>
      </w:pPr>
      <w:r>
        <w:rPr>
          <w:color w:val="FFFFFF"/>
        </w:rPr>
        <w:t>Gap #4</w:t>
      </w:r>
    </w:p>
    <w:p>
      <w:pPr>
        <w:pStyle w:val="style0"/>
      </w:pPr>
      <w:r>
        <w:rPr>
          <w:b/>
        </w:rPr>
        <w:t>Acceptance criteria:</w:t>
      </w:r>
    </w:p>
    <w:p>
      <w:pPr>
        <w:pStyle w:val="style0"/>
        <w:numPr>
          <w:ilvl w:val="0"/>
          <w:numId w:val="2"/>
        </w:numPr>
        <w:tabs>
          <w:tab w:leader="none" w:pos="720" w:val="left"/>
        </w:tabs>
      </w:pPr>
      <w:r>
        <w:rPr/>
        <w:t>a 0.08” shim must fit in these two gaps</w:t>
      </w:r>
    </w:p>
    <w:p>
      <w:pPr>
        <w:pStyle w:val="style0"/>
        <w:tabs>
          <w:tab w:leader="none" w:pos="720" w:val="left"/>
        </w:tabs>
        <w:jc w:val="both"/>
      </w:pPr>
      <w:r>
        <w:rPr/>
      </w:r>
    </w:p>
    <w:p>
      <w:pPr>
        <w:pStyle w:val="style0"/>
        <w:tabs>
          <w:tab w:leader="none" w:pos="720" w:val="left"/>
        </w:tabs>
        <w:jc w:val="both"/>
      </w:pPr>
      <w:r>
        <w:rPr/>
      </w:r>
    </w:p>
    <w:p>
      <w:pPr>
        <w:pStyle w:val="style0"/>
        <w:tabs>
          <w:tab w:leader="none" w:pos="720" w:val="left"/>
        </w:tabs>
        <w:jc w:val="both"/>
      </w:pPr>
      <w:r>
        <w:rPr>
          <w:u w:val="single"/>
        </w:rPr>
        <w:t>Issues/difficulties/comments regarding this test</w:t>
      </w:r>
      <w:r>
        <w:rPr/>
        <w:t xml:space="preserve">: Gap#1 is tricky to reach. At LASTI, the solution found was to tape the shim to an extension (rod, rigid ruler, etc.). </w:t>
      </w:r>
    </w:p>
    <w:p>
      <w:pPr>
        <w:pStyle w:val="style0"/>
        <w:tabs>
          <w:tab w:leader="none" w:pos="720" w:val="left"/>
        </w:tabs>
        <w:jc w:val="both"/>
      </w:pPr>
      <w:r>
        <w:rPr/>
        <w:t>Gap#2 should be reachable by hand.</w:t>
      </w:r>
    </w:p>
    <w:p>
      <w:pPr>
        <w:pStyle w:val="style0"/>
        <w:tabs>
          <w:tab w:leader="none" w:pos="720" w:val="left"/>
        </w:tabs>
        <w:jc w:val="both"/>
      </w:pPr>
      <w:r>
        <w:rPr/>
        <w:t>Gap#3 and 4 are tricky, but should also be doable (no picture)</w:t>
      </w:r>
    </w:p>
    <w:p>
      <w:pPr>
        <w:pStyle w:val="style0"/>
        <w:tabs>
          <w:tab w:leader="none" w:pos="720" w:val="left"/>
        </w:tabs>
        <w:jc w:val="both"/>
      </w:pPr>
      <w:r>
        <w:rPr/>
      </w:r>
    </w:p>
    <w:p>
      <w:pPr>
        <w:pStyle w:val="style0"/>
        <w:tabs>
          <w:tab w:leader="none" w:pos="720" w:val="left"/>
        </w:tabs>
        <w:jc w:val="both"/>
      </w:pPr>
      <w:r>
        <w:rPr>
          <w:b/>
          <w:bCs/>
        </w:rPr>
        <w:t>Gap#1</w:t>
      </w:r>
    </w:p>
    <w:p>
      <w:pPr>
        <w:pStyle w:val="style0"/>
        <w:tabs>
          <w:tab w:leader="none" w:pos="720" w:val="left"/>
        </w:tabs>
        <w:jc w:val="both"/>
      </w:pPr>
      <w:r>
        <w:rPr>
          <w:u w:val="single"/>
        </w:rPr>
        <w:drawing>
          <wp:anchor allowOverlap="1" behindDoc="0" distB="0" distL="0" distR="0" distT="0" layoutInCell="1" locked="0" relativeHeight="0" simplePos="0">
            <wp:simplePos x="0" y="0"/>
            <wp:positionH relativeFrom="character">
              <wp:posOffset>30480</wp:posOffset>
            </wp:positionH>
            <wp:positionV relativeFrom="line">
              <wp:posOffset>59690</wp:posOffset>
            </wp:positionV>
            <wp:extent cx="845820" cy="456247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9"/>
                    <a:srcRect/>
                    <a:stretch>
                      <a:fillRect/>
                    </a:stretch>
                  </pic:blipFill>
                  <pic:spPr bwMode="auto">
                    <a:xfrm>
                      <a:off x="0" y="0"/>
                      <a:ext cx="845820" cy="4562475"/>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958850</wp:posOffset>
            </wp:positionH>
            <wp:positionV relativeFrom="line">
              <wp:posOffset>64135</wp:posOffset>
            </wp:positionV>
            <wp:extent cx="2567305" cy="454152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2567305" cy="4541520"/>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3608705</wp:posOffset>
            </wp:positionH>
            <wp:positionV relativeFrom="line">
              <wp:posOffset>83185</wp:posOffset>
            </wp:positionV>
            <wp:extent cx="2557145" cy="452437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1"/>
                    <a:srcRect/>
                    <a:stretch>
                      <a:fillRect/>
                    </a:stretch>
                  </pic:blipFill>
                  <pic:spPr bwMode="auto">
                    <a:xfrm>
                      <a:off x="0" y="0"/>
                      <a:ext cx="2557145" cy="4524375"/>
                    </a:xfrm>
                    <a:prstGeom prst="rect">
                      <a:avLst/>
                    </a:prstGeom>
                    <a:noFill/>
                    <a:ln w="9525">
                      <a:noFill/>
                      <a:miter lim="800000"/>
                      <a:headEnd/>
                      <a:tailEnd/>
                    </a:ln>
                  </pic:spPr>
                </pic:pic>
              </a:graphicData>
            </a:graphic>
          </wp:anchor>
        </w:drawing>
      </w:r>
    </w:p>
    <w:p>
      <w:pPr>
        <w:pStyle w:val="style0"/>
        <w:tabs>
          <w:tab w:leader="none" w:pos="720" w:val="left"/>
        </w:tabs>
        <w:jc w:val="both"/>
      </w:pPr>
      <w:r>
        <w:rPr/>
      </w:r>
    </w:p>
    <w:p>
      <w:pPr>
        <w:pStyle w:val="style0"/>
        <w:tabs>
          <w:tab w:leader="none" w:pos="720" w:val="left"/>
        </w:tabs>
      </w:pPr>
      <w:r>
        <w:rPr>
          <w:b/>
          <w:bCs/>
        </w:rPr>
        <w:t>Gap#2</w:t>
      </w:r>
    </w:p>
    <w:p>
      <w:pPr>
        <w:pStyle w:val="style0"/>
        <w:tabs>
          <w:tab w:leader="none" w:pos="720" w:val="left"/>
        </w:tabs>
      </w:pPr>
      <w:r>
        <w:rPr/>
        <w:drawing>
          <wp:anchor allowOverlap="1" behindDoc="0" distB="0" distL="0" distR="0" distT="0" layoutInCell="1" locked="0" relativeHeight="0" simplePos="0">
            <wp:simplePos x="0" y="0"/>
            <wp:positionH relativeFrom="character">
              <wp:posOffset>37465</wp:posOffset>
            </wp:positionH>
            <wp:positionV relativeFrom="line">
              <wp:posOffset>95250</wp:posOffset>
            </wp:positionV>
            <wp:extent cx="2977515" cy="168275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2977515" cy="1682750"/>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3094990</wp:posOffset>
            </wp:positionH>
            <wp:positionV relativeFrom="line">
              <wp:posOffset>87630</wp:posOffset>
            </wp:positionV>
            <wp:extent cx="2991485" cy="169100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3"/>
                    <a:srcRect/>
                    <a:stretch>
                      <a:fillRect/>
                    </a:stretch>
                  </pic:blipFill>
                  <pic:spPr bwMode="auto">
                    <a:xfrm>
                      <a:off x="0" y="0"/>
                      <a:ext cx="2991485" cy="1691005"/>
                    </a:xfrm>
                    <a:prstGeom prst="rect">
                      <a:avLst/>
                    </a:prstGeom>
                    <a:noFill/>
                    <a:ln w="9525">
                      <a:noFill/>
                      <a:miter lim="800000"/>
                      <a:headEnd/>
                      <a:tailEnd/>
                    </a:ln>
                  </pic:spPr>
                </pic:pic>
              </a:graphicData>
            </a:graphic>
          </wp:anchor>
        </w:drawing>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p>
      <w:pPr>
        <w:pStyle w:val="style0"/>
        <w:tabs>
          <w:tab w:leader="none" w:pos="720" w:val="left"/>
        </w:tabs>
      </w:pPr>
      <w:r>
        <w:rPr/>
      </w:r>
    </w:p>
    <w:tbl>
      <w:tblPr>
        <w:jc w:val="left"/>
        <w:tblInd w:type="dxa" w:w="2784"/>
        <w:tblBorders>
          <w:top w:color="000001" w:space="0" w:sz="2" w:val="single"/>
          <w:left w:color="000001" w:space="0" w:sz="2" w:val="single"/>
          <w:bottom w:color="000001" w:space="0" w:sz="2" w:val="single"/>
        </w:tblBorders>
      </w:tblPr>
      <w:tblGrid>
        <w:gridCol w:w="824"/>
        <w:gridCol w:w="925"/>
        <w:gridCol w:w="956"/>
        <w:gridCol w:w="955"/>
        <w:gridCol w:w="960"/>
      </w:tblGrid>
      <w:tr>
        <w:trPr>
          <w:cantSplit w:val="false"/>
        </w:trPr>
        <w:tc>
          <w:tcPr>
            <w:tcW w:type="dxa" w:w="824"/>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r>
          </w:p>
        </w:tc>
        <w:tc>
          <w:tcPr>
            <w:tcW w:type="dxa" w:w="92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Gap#1</w:t>
            </w:r>
          </w:p>
        </w:tc>
        <w:tc>
          <w:tcPr>
            <w:tcW w:type="dxa" w:w="956"/>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Gap#2</w:t>
            </w:r>
          </w:p>
        </w:tc>
        <w:tc>
          <w:tcPr>
            <w:tcW w:type="dxa" w:w="95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Gap#3</w:t>
            </w:r>
          </w:p>
        </w:tc>
        <w:tc>
          <w:tcPr>
            <w:tcW w:type="dxa" w:w="960"/>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sz w:val="22"/>
                <w:szCs w:val="22"/>
              </w:rPr>
              <w:t>Gap#4</w:t>
            </w:r>
          </w:p>
        </w:tc>
      </w:tr>
      <w:tr>
        <w:trPr>
          <w:cantSplit w:val="false"/>
        </w:trPr>
        <w:tc>
          <w:tcPr>
            <w:tcW w:type="dxa" w:w="82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Pier 1</w:t>
            </w:r>
          </w:p>
        </w:tc>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6"/>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60"/>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Go</w:t>
            </w:r>
          </w:p>
        </w:tc>
      </w:tr>
      <w:tr>
        <w:trPr>
          <w:cantSplit w:val="false"/>
        </w:trPr>
        <w:tc>
          <w:tcPr>
            <w:tcW w:type="dxa" w:w="82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Pier 2</w:t>
            </w:r>
          </w:p>
        </w:tc>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6"/>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60"/>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Go</w:t>
            </w:r>
          </w:p>
        </w:tc>
      </w:tr>
      <w:tr>
        <w:trPr>
          <w:cantSplit w:val="false"/>
        </w:trPr>
        <w:tc>
          <w:tcPr>
            <w:tcW w:type="dxa" w:w="82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Pier 3</w:t>
            </w:r>
          </w:p>
        </w:tc>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6"/>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60"/>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Go</w:t>
            </w:r>
          </w:p>
        </w:tc>
      </w:tr>
      <w:tr>
        <w:trPr>
          <w:cantSplit w:val="false"/>
        </w:trPr>
        <w:tc>
          <w:tcPr>
            <w:tcW w:type="dxa" w:w="824"/>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2"/>
                <w:szCs w:val="22"/>
              </w:rPr>
              <w:t xml:space="preserve">Pier 4 </w:t>
            </w:r>
          </w:p>
        </w:tc>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6"/>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5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t>Go</w:t>
            </w:r>
          </w:p>
        </w:tc>
        <w:tc>
          <w:tcPr>
            <w:tcW w:type="dxa" w:w="960"/>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t>Go</w:t>
            </w:r>
          </w:p>
        </w:tc>
      </w:tr>
    </w:tbl>
    <w:p>
      <w:pPr>
        <w:pStyle w:val="style0"/>
        <w:tabs>
          <w:tab w:leader="none" w:pos="720" w:val="left"/>
        </w:tabs>
      </w:pPr>
      <w:r>
        <w:rPr/>
      </w:r>
    </w:p>
    <w:p>
      <w:pPr>
        <w:pStyle w:val="style0"/>
        <w:tabs>
          <w:tab w:leader="none" w:pos="360" w:val="left"/>
          <w:tab w:leader="none" w:pos="5220" w:val="left"/>
          <w:tab w:leader="none" w:pos="7470" w:val="left"/>
        </w:tabs>
      </w:pPr>
      <w:bookmarkStart w:id="72" w:name="__DdeLink__270_877636783"/>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bookmarkEnd w:id="72"/>
      <w:r>
        <w:rPr>
          <w:b/>
          <w:color w:val="FFFFFF"/>
        </w:rPr>
        <w:t>.</w:t>
      </w:r>
    </w:p>
    <w:p>
      <w:pPr>
        <w:pStyle w:val="style0"/>
        <w:tabs>
          <w:tab w:leader="none" w:pos="360" w:val="left"/>
          <w:tab w:leader="none" w:pos="5220" w:val="left"/>
          <w:tab w:leader="none" w:pos="7470" w:val="left"/>
        </w:tabs>
        <w:suppressAutoHyphens w:val="false"/>
        <w:spacing w:after="200" w:before="0" w:line="276" w:lineRule="auto"/>
      </w:pPr>
      <w:r>
        <w:rPr/>
      </w:r>
    </w:p>
    <w:p>
      <w:pPr>
        <w:pStyle w:val="style2"/>
        <w:numPr>
          <w:ilvl w:val="1"/>
          <w:numId w:val="1"/>
        </w:numPr>
      </w:pPr>
      <w:bookmarkStart w:id="73" w:name="__RefHeading__840_1185372569"/>
      <w:bookmarkStart w:id="74" w:name="__RefHeading__131_968872343"/>
      <w:bookmarkStart w:id="75" w:name="__RefHeading__149_78310084"/>
      <w:bookmarkStart w:id="76" w:name="__RefHeading__172_870708744"/>
      <w:bookmarkStart w:id="77" w:name="__RefHeading__192_1185372569"/>
      <w:bookmarkStart w:id="78" w:name="__RefHeading__133_968872343"/>
      <w:bookmarkStart w:id="79" w:name="__RefHeading__96_503471281"/>
      <w:bookmarkStart w:id="80" w:name="__RefHeading__23750_1262773321"/>
      <w:bookmarkStart w:id="81" w:name="__RefHeading__434_1185372569"/>
      <w:bookmarkStart w:id="82" w:name="__RefHeading__112_1080062798"/>
      <w:bookmarkStart w:id="83" w:name="__RefHeading__23853_1262773321"/>
      <w:bookmarkStart w:id="84" w:name="__RefHeading__23658_1262773321"/>
      <w:bookmarkStart w:id="85" w:name="_Toc244945160"/>
      <w:bookmarkEnd w:id="73"/>
      <w:bookmarkEnd w:id="74"/>
      <w:bookmarkEnd w:id="75"/>
      <w:bookmarkEnd w:id="76"/>
      <w:bookmarkEnd w:id="77"/>
      <w:bookmarkEnd w:id="78"/>
      <w:bookmarkEnd w:id="79"/>
      <w:bookmarkEnd w:id="80"/>
      <w:bookmarkEnd w:id="81"/>
      <w:bookmarkEnd w:id="82"/>
      <w:bookmarkEnd w:id="83"/>
      <w:bookmarkEnd w:id="84"/>
      <w:bookmarkEnd w:id="85"/>
      <w:r>
        <w:rPr/>
        <w:t>IPS Centering</w:t>
      </w:r>
    </w:p>
    <w:p>
      <w:pPr>
        <w:pStyle w:val="style0"/>
        <w:tabs>
          <w:tab w:leader="none" w:pos="0" w:val="left"/>
        </w:tabs>
        <w:ind w:firstLine="495" w:left="0" w:right="0"/>
      </w:pPr>
      <w:r>
        <w:rPr>
          <w:b/>
        </w:rPr>
        <w:t xml:space="preserve">Scripts files for processing and plotting in SVN at: </w:t>
      </w:r>
    </w:p>
    <w:p>
      <w:pPr>
        <w:pStyle w:val="style0"/>
        <w:tabs>
          <w:tab w:leader="none" w:pos="0" w:val="left"/>
        </w:tabs>
        <w:ind w:firstLine="495" w:left="0" w:right="0"/>
      </w:pPr>
      <w:r>
        <w:rPr/>
        <w:t>/SeiSVN/seismic/HEPI/Common/Testing_Functions_HEPI/Offset_STD_IPS_HEPI.m</w:t>
      </w:r>
    </w:p>
    <w:p>
      <w:pPr>
        <w:pStyle w:val="style0"/>
      </w:pPr>
      <w:r>
        <w:rPr/>
      </w:r>
    </w:p>
    <w:p>
      <w:pPr>
        <w:pStyle w:val="style0"/>
      </w:pPr>
      <w:r>
        <w:rPr/>
        <w:t>All the loops must be turned off during this test.</w:t>
      </w:r>
    </w:p>
    <w:p>
      <w:pPr>
        <w:pStyle w:val="style0"/>
      </w:pPr>
      <w:r>
        <w:rPr/>
      </w:r>
    </w:p>
    <w:tbl>
      <w:tblPr>
        <w:jc w:val="left"/>
        <w:tblInd w:type="dxa" w:w="-15"/>
        <w:tblBorders/>
      </w:tblPr>
      <w:tblGrid>
        <w:gridCol w:w="1335"/>
        <w:gridCol w:w="1100"/>
        <w:gridCol w:w="1100"/>
        <w:gridCol w:w="1099"/>
        <w:gridCol w:w="1100"/>
        <w:gridCol w:w="1099"/>
        <w:gridCol w:w="1100"/>
        <w:gridCol w:w="1099"/>
        <w:gridCol w:w="1027"/>
      </w:tblGrid>
      <w:tr>
        <w:trPr>
          <w:trHeight w:hRule="atLeast" w:val="300"/>
          <w:cantSplit w:val="false"/>
        </w:trPr>
        <w:tc>
          <w:tcPr>
            <w:tcW w:type="dxa" w:w="1335"/>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r>
          </w:p>
        </w:tc>
        <w:tc>
          <w:tcPr>
            <w:tcW w:type="dxa" w:w="110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H1</w:t>
            </w:r>
          </w:p>
        </w:tc>
        <w:tc>
          <w:tcPr>
            <w:tcW w:type="dxa" w:w="110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H2</w:t>
            </w:r>
          </w:p>
        </w:tc>
        <w:tc>
          <w:tcPr>
            <w:tcW w:type="dxa" w:w="1099"/>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H3</w:t>
            </w:r>
          </w:p>
        </w:tc>
        <w:tc>
          <w:tcPr>
            <w:tcW w:type="dxa" w:w="110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H4</w:t>
            </w:r>
          </w:p>
        </w:tc>
        <w:tc>
          <w:tcPr>
            <w:tcW w:type="dxa" w:w="1099"/>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V1</w:t>
            </w:r>
          </w:p>
        </w:tc>
        <w:tc>
          <w:tcPr>
            <w:tcW w:type="dxa" w:w="110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V2</w:t>
            </w:r>
          </w:p>
        </w:tc>
        <w:tc>
          <w:tcPr>
            <w:tcW w:type="dxa" w:w="1099"/>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V3</w:t>
            </w:r>
          </w:p>
        </w:tc>
        <w:tc>
          <w:tcPr>
            <w:tcW w:type="dxa" w:w="1027"/>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V4</w:t>
            </w:r>
          </w:p>
        </w:tc>
      </w:tr>
      <w:tr>
        <w:trPr>
          <w:trHeight w:hRule="atLeast" w:val="600"/>
          <w:cantSplit w:val="false"/>
        </w:trPr>
        <w:tc>
          <w:tcPr>
            <w:tcW w:type="dxa" w:w="133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Mean (counts)</w:t>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c>
          <w:tcPr>
            <w:tcW w:type="dxa" w:w="1027"/>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r>
          </w:p>
        </w:tc>
      </w:tr>
      <w:tr>
        <w:trPr>
          <w:trHeight w:hRule="atLeast" w:val="300"/>
          <w:cantSplit w:val="false"/>
        </w:trPr>
        <w:tc>
          <w:tcPr>
            <w:tcW w:type="dxa" w:w="1335"/>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Acceptance</w:t>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10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099"/>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c>
          <w:tcPr>
            <w:tcW w:type="dxa" w:w="1027"/>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color w:val="000000"/>
                <w:lang w:eastAsia="en-US"/>
              </w:rPr>
              <w:t>+/- 15000</w:t>
            </w:r>
          </w:p>
        </w:tc>
      </w:tr>
    </w:tbl>
    <w:p>
      <w:pPr>
        <w:pStyle w:val="style0"/>
      </w:pPr>
      <w:r>
        <w:rPr/>
      </w:r>
    </w:p>
    <w:p>
      <w:pPr>
        <w:pStyle w:val="style0"/>
        <w:tabs>
          <w:tab w:leader="none" w:pos="360" w:val="left"/>
          <w:tab w:leader="none" w:pos="5220" w:val="left"/>
          <w:tab w:leader="none" w:pos="7470" w:val="left"/>
        </w:tabs>
      </w:pPr>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p>
    <w:p>
      <w:pPr>
        <w:pStyle w:val="style0"/>
      </w:pPr>
      <w:r>
        <w:rPr>
          <w:color w:val="FF3366"/>
        </w:rPr>
        <w:t>Comments—For this measurement to have meaning different from Section 15, it must be specified when the data is to be taken.  The IPS values collected in section 15, would be those just after initial alignment and the Actuators are first attached.  Before that point, the IPS readings should be more like zero, not at half their range.  For much of the installation, electronics were not available and platform motion was monitored with Dial Indicators.</w:t>
      </w:r>
    </w:p>
    <w:p>
      <w:pPr>
        <w:pStyle w:val="style0"/>
      </w:pPr>
      <w:r>
        <w:rPr/>
      </w:r>
    </w:p>
    <w:p>
      <w:pPr>
        <w:pStyle w:val="style2"/>
        <w:numPr>
          <w:ilvl w:val="1"/>
          <w:numId w:val="1"/>
        </w:numPr>
      </w:pPr>
      <w:bookmarkStart w:id="86" w:name="__RefHeading__98_503471281"/>
      <w:bookmarkStart w:id="87" w:name="__RefHeading__23660_1262773321"/>
      <w:bookmarkStart w:id="88" w:name="__RefHeading__114_1080062798"/>
      <w:bookmarkStart w:id="89" w:name="__RefHeading__23855_1262773321"/>
      <w:bookmarkStart w:id="90" w:name="__RefHeading__23752_1262773321"/>
      <w:bookmarkStart w:id="91" w:name="__RefHeading__135_968872343"/>
      <w:bookmarkStart w:id="92" w:name="__RefHeading__151_78310084"/>
      <w:bookmarkStart w:id="93" w:name="__RefHeading__174_870708744"/>
      <w:bookmarkStart w:id="94" w:name="__RefHeading__194_1185372569"/>
      <w:bookmarkStart w:id="95" w:name="__RefHeading__436_1185372569"/>
      <w:bookmarkStart w:id="96" w:name="__RefHeading__842_1185372569"/>
      <w:bookmarkStart w:id="97" w:name="_Toc244945161"/>
      <w:bookmarkEnd w:id="86"/>
      <w:bookmarkEnd w:id="87"/>
      <w:bookmarkEnd w:id="88"/>
      <w:bookmarkEnd w:id="89"/>
      <w:bookmarkEnd w:id="90"/>
      <w:bookmarkEnd w:id="91"/>
      <w:bookmarkEnd w:id="92"/>
      <w:bookmarkEnd w:id="93"/>
      <w:bookmarkEnd w:id="94"/>
      <w:bookmarkEnd w:id="95"/>
      <w:bookmarkEnd w:id="96"/>
      <w:bookmarkEnd w:id="97"/>
      <w:r>
        <w:rPr/>
        <w:t>Sensor ASD</w:t>
      </w:r>
    </w:p>
    <w:p>
      <w:pPr>
        <w:pStyle w:val="style0"/>
        <w:tabs>
          <w:tab w:leader="none" w:pos="0" w:val="left"/>
        </w:tabs>
        <w:ind w:firstLine="495" w:left="0" w:right="0"/>
      </w:pPr>
      <w:r>
        <w:rPr>
          <w:b/>
        </w:rPr>
        <w:t xml:space="preserve">Scripts files for processing and plotting in SVN at: </w:t>
      </w:r>
    </w:p>
    <w:p>
      <w:pPr>
        <w:pStyle w:val="style0"/>
        <w:tabs>
          <w:tab w:leader="none" w:pos="0" w:val="left"/>
        </w:tabs>
        <w:ind w:firstLine="495" w:left="0" w:right="0"/>
      </w:pPr>
      <w:bookmarkStart w:id="98" w:name="__DdeLink__7811_1262773321"/>
      <w:bookmarkEnd w:id="98"/>
      <w:r>
        <w:rPr/>
        <w:t>/SeiSVN/seismic/HEPI/Common/Testing_Functions_HEPI/ASD_Measurements_Local_HEPI.m</w:t>
      </w:r>
    </w:p>
    <w:p>
      <w:pPr>
        <w:pStyle w:val="style0"/>
        <w:tabs>
          <w:tab w:leader="none" w:pos="0" w:val="left"/>
        </w:tabs>
        <w:ind w:firstLine="495" w:left="0" w:right="0"/>
      </w:pPr>
      <w:r>
        <w:rPr/>
      </w:r>
    </w:p>
    <w:p>
      <w:pPr>
        <w:pStyle w:val="style0"/>
        <w:tabs>
          <w:tab w:leader="none" w:pos="0" w:val="left"/>
        </w:tabs>
      </w:pPr>
      <w:r>
        <w:rPr>
          <w:b/>
        </w:rPr>
        <w:t>Data in SVN at:</w:t>
      </w:r>
    </w:p>
    <w:p>
      <w:pPr>
        <w:pStyle w:val="style0"/>
        <w:tabs>
          <w:tab w:leader="none" w:pos="0" w:val="left"/>
        </w:tabs>
        <w:ind w:firstLine="495" w:left="0" w:right="0"/>
      </w:pPr>
      <w:r>
        <w:rPr/>
        <w:t>SeiSVN/seismic/HEPI/M1/HAMX/Data/Spectra/Undamped/</w:t>
      </w:r>
    </w:p>
    <w:p>
      <w:pPr>
        <w:pStyle w:val="style0"/>
        <w:tabs>
          <w:tab w:leader="none" w:pos="0" w:val="left"/>
        </w:tabs>
        <w:ind w:firstLine="495" w:left="0" w:right="0"/>
      </w:pPr>
      <w:r>
        <w:rPr/>
        <w:t>M1_HPI_HAMX_ASD_m_IPS_L4C_2013_06_03_120859.mat</w:t>
      </w:r>
    </w:p>
    <w:p>
      <w:pPr>
        <w:pStyle w:val="style0"/>
        <w:tabs>
          <w:tab w:leader="none" w:pos="0" w:val="left"/>
        </w:tabs>
        <w:ind w:firstLine="495" w:left="0" w:right="0"/>
      </w:pPr>
      <w:r>
        <w:rPr/>
      </w:r>
    </w:p>
    <w:p>
      <w:pPr>
        <w:pStyle w:val="style0"/>
        <w:tabs>
          <w:tab w:leader="none" w:pos="0" w:val="left"/>
        </w:tabs>
        <w:suppressAutoHyphens w:val="false"/>
      </w:pPr>
      <w:r>
        <w:rPr>
          <w:b/>
        </w:rPr>
        <w:t>Figures in SVN at:</w:t>
      </w:r>
    </w:p>
    <w:p>
      <w:pPr>
        <w:pStyle w:val="style0"/>
        <w:tabs>
          <w:tab w:leader="none" w:pos="0" w:val="left"/>
        </w:tabs>
        <w:suppressAutoHyphens w:val="false"/>
        <w:spacing w:line="276" w:lineRule="auto"/>
      </w:pPr>
      <w:bookmarkStart w:id="99" w:name="__DdeLink__7818_1262773321"/>
      <w:bookmarkEnd w:id="99"/>
      <w:r>
        <w:rPr/>
        <w:t>/SeiSVN/seismic/HEPI/M1/HAMX/Data/Figures/Spectra/Undamped</w:t>
      </w:r>
    </w:p>
    <w:p>
      <w:pPr>
        <w:pStyle w:val="style0"/>
        <w:jc w:val="both"/>
      </w:pPr>
      <w:r>
        <w:rPr/>
      </w:r>
    </w:p>
    <w:p>
      <w:pPr>
        <w:pStyle w:val="style0"/>
        <w:jc w:val="both"/>
      </w:pPr>
      <w:r>
        <w:rPr/>
        <w:drawing>
          <wp:anchor allowOverlap="1" behindDoc="0" distB="0" distL="0" distR="0" distT="0" layoutInCell="1" locked="0" relativeHeight="0" simplePos="0">
            <wp:simplePos x="0" y="0"/>
            <wp:positionH relativeFrom="character">
              <wp:posOffset>-354965</wp:posOffset>
            </wp:positionH>
            <wp:positionV relativeFrom="line">
              <wp:posOffset>0</wp:posOffset>
            </wp:positionV>
            <wp:extent cx="6771005" cy="399605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4"/>
                    <a:srcRect/>
                    <a:stretch>
                      <a:fillRect/>
                    </a:stretch>
                  </pic:blipFill>
                  <pic:spPr bwMode="auto">
                    <a:xfrm>
                      <a:off x="0" y="0"/>
                      <a:ext cx="6771005" cy="399605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u w:val="single"/>
        </w:rPr>
        <w:t>Issues/difficulties/comments regarding this test:</w:t>
      </w:r>
    </w:p>
    <w:p>
      <w:pPr>
        <w:pStyle w:val="style158"/>
        <w:ind w:hanging="0" w:left="0" w:right="0"/>
      </w:pPr>
      <w:r>
        <w:rPr/>
        <w:t>Measurements were performed with all PreFilters ON.</w:t>
      </w:r>
    </w:p>
    <w:p>
      <w:pPr>
        <w:pStyle w:val="style158"/>
        <w:ind w:hanging="0" w:left="0" w:right="0"/>
      </w:pPr>
      <w:r>
        <w:rPr/>
      </w:r>
    </w:p>
    <w:p>
      <w:pPr>
        <w:pStyle w:val="style0"/>
      </w:pPr>
      <w:bookmarkStart w:id="100" w:name="__DdeLink__7826_1262773321"/>
      <w:bookmarkEnd w:id="100"/>
      <w:r>
        <w:rPr>
          <w:b/>
        </w:rPr>
        <w:t xml:space="preserve">Acceptance criteria: </w:t>
      </w:r>
      <w:r>
        <w:rPr>
          <w:b/>
          <w:color w:val="FF3366"/>
        </w:rPr>
        <w:t>A reference good spectra might be a good thing to have here.</w:t>
      </w:r>
    </w:p>
    <w:p>
      <w:pPr>
        <w:pStyle w:val="style0"/>
        <w:tabs>
          <w:tab w:leader="none" w:pos="1440" w:val="left"/>
        </w:tabs>
        <w:ind w:hanging="0" w:left="720" w:right="0"/>
      </w:pPr>
      <w:r>
        <w:rPr/>
      </w:r>
    </w:p>
    <w:p>
      <w:pPr>
        <w:pStyle w:val="style0"/>
        <w:tabs>
          <w:tab w:leader="none" w:pos="360" w:val="left"/>
          <w:tab w:leader="none" w:pos="5220" w:val="left"/>
          <w:tab w:leader="none" w:pos="7470" w:val="left"/>
        </w:tabs>
      </w:pPr>
      <w:bookmarkStart w:id="101" w:name="__DdeLink__7795_1262773321"/>
      <w:r>
        <w:rPr>
          <w:b/>
        </w:rPr>
        <w:t>Test result:</w:t>
        <w:tab/>
        <w:t xml:space="preserve">Passed: </w:t>
      </w:r>
      <w:r>
        <w:rPr>
          <w:b/>
          <w:u w:val="single"/>
        </w:rPr>
        <w:t xml:space="preserve">      </w:t>
      </w:r>
      <w:r>
        <w:rPr>
          <w:b/>
        </w:rPr>
        <w:tab/>
        <w:t xml:space="preserve">Failed: </w:t>
      </w:r>
      <w:r>
        <w:rPr>
          <w:b/>
          <w:u w:val="single"/>
        </w:rPr>
        <w:t xml:space="preserve">       </w:t>
      </w:r>
      <w:r>
        <w:rPr>
          <w:b/>
        </w:rPr>
        <w:t xml:space="preserve">  </w:t>
      </w:r>
      <w:bookmarkEnd w:id="101"/>
      <w:r>
        <w:rPr>
          <w:b/>
          <w:color w:val="FFFFFF"/>
        </w:rPr>
        <w:t>.</w:t>
      </w:r>
    </w:p>
    <w:p>
      <w:pPr>
        <w:pStyle w:val="style0"/>
        <w:suppressAutoHyphens w:val="false"/>
        <w:spacing w:after="200" w:before="0" w:line="276" w:lineRule="auto"/>
      </w:pPr>
      <w:r>
        <w:rPr/>
      </w:r>
    </w:p>
    <w:p>
      <w:pPr>
        <w:pStyle w:val="style2"/>
        <w:numPr>
          <w:ilvl w:val="1"/>
          <w:numId w:val="1"/>
        </w:numPr>
        <w:spacing w:after="0" w:before="86"/>
      </w:pPr>
      <w:bookmarkStart w:id="102" w:name="__RefHeading__196_1185372569"/>
      <w:bookmarkStart w:id="103" w:name="__RefHeading__176_870708744"/>
      <w:bookmarkStart w:id="104" w:name="__RefHeading__438_1185372569"/>
      <w:bookmarkStart w:id="105" w:name="__RefHeading__100_503471281"/>
      <w:bookmarkStart w:id="106" w:name="__RefHeading__844_1185372569"/>
      <w:bookmarkStart w:id="107" w:name="__RefHeading__23754_1262773321"/>
      <w:bookmarkStart w:id="108" w:name="__RefHeading__23857_1262773321"/>
      <w:bookmarkStart w:id="109" w:name="__RefHeading__153_78310084"/>
      <w:bookmarkStart w:id="110" w:name="__RefHeading__23662_1262773321"/>
      <w:bookmarkStart w:id="111" w:name="__RefHeading__137_968872343"/>
      <w:bookmarkStart w:id="112" w:name="__RefHeading__116_1080062798"/>
      <w:bookmarkStart w:id="113" w:name="__RefHeading__552_1262773321"/>
      <w:bookmarkStart w:id="114" w:name="_Toc244945162"/>
      <w:bookmarkEnd w:id="102"/>
      <w:bookmarkEnd w:id="103"/>
      <w:bookmarkEnd w:id="104"/>
      <w:bookmarkEnd w:id="105"/>
      <w:bookmarkEnd w:id="106"/>
      <w:bookmarkEnd w:id="107"/>
      <w:bookmarkEnd w:id="108"/>
      <w:bookmarkEnd w:id="109"/>
      <w:bookmarkEnd w:id="110"/>
      <w:bookmarkEnd w:id="111"/>
      <w:bookmarkEnd w:id="112"/>
      <w:bookmarkEnd w:id="113"/>
      <w:bookmarkEnd w:id="114"/>
      <w:r>
        <w:rPr/>
        <w:t>SUS-watchdogs interaction test</w:t>
      </w:r>
    </w:p>
    <w:p>
      <w:pPr>
        <w:pStyle w:val="style0"/>
        <w:suppressAutoHyphens w:val="false"/>
        <w:spacing w:after="0" w:before="86" w:line="276" w:lineRule="auto"/>
      </w:pPr>
      <w:r>
        <w:rPr>
          <w:b/>
          <w:color w:val="FF0000"/>
        </w:rPr>
        <w:t>This test will be obsolete very soon, as the payload-HEPI WD connection is planned for removal.</w:t>
      </w:r>
    </w:p>
    <w:p>
      <w:pPr>
        <w:pStyle w:val="style0"/>
      </w:pPr>
      <w:r>
        <w:rPr/>
      </w:r>
    </w:p>
    <w:p>
      <w:pPr>
        <w:pStyle w:val="style2"/>
        <w:numPr>
          <w:ilvl w:val="1"/>
          <w:numId w:val="1"/>
        </w:numPr>
      </w:pPr>
      <w:bookmarkStart w:id="115" w:name="__RefHeading__23664_1262773321"/>
      <w:bookmarkStart w:id="116" w:name="__RefHeading__846_1185372569"/>
      <w:bookmarkStart w:id="117" w:name="__RefHeading__440_1185372569"/>
      <w:bookmarkStart w:id="118" w:name="__RefHeading__198_1185372569"/>
      <w:bookmarkStart w:id="119" w:name="__RefHeading__178_870708744"/>
      <w:bookmarkStart w:id="120" w:name="__RefHeading__155_78310084"/>
      <w:bookmarkStart w:id="121" w:name="__RefHeading__102_503471281"/>
      <w:bookmarkStart w:id="122" w:name="__RefHeading__23756_1262773321"/>
      <w:bookmarkStart w:id="123" w:name="__RefHeading__554_1262773321"/>
      <w:bookmarkStart w:id="124" w:name="__RefHeading__23859_1262773321"/>
      <w:bookmarkStart w:id="125" w:name="__RefHeading__118_1080062798"/>
      <w:bookmarkStart w:id="126" w:name="__RefHeading__139_968872343"/>
      <w:bookmarkStart w:id="127" w:name="_Toc244945163"/>
      <w:bookmarkEnd w:id="115"/>
      <w:bookmarkEnd w:id="116"/>
      <w:bookmarkEnd w:id="117"/>
      <w:bookmarkEnd w:id="118"/>
      <w:bookmarkEnd w:id="119"/>
      <w:bookmarkEnd w:id="120"/>
      <w:bookmarkEnd w:id="121"/>
      <w:bookmarkEnd w:id="122"/>
      <w:bookmarkEnd w:id="123"/>
      <w:bookmarkEnd w:id="124"/>
      <w:bookmarkEnd w:id="125"/>
      <w:bookmarkEnd w:id="126"/>
      <w:bookmarkEnd w:id="127"/>
      <w:r>
        <w:rPr/>
        <w:t xml:space="preserve">Static Test local drive </w:t>
      </w:r>
    </w:p>
    <w:p>
      <w:pPr>
        <w:pStyle w:val="style0"/>
        <w:tabs>
          <w:tab w:leader="none" w:pos="0" w:val="left"/>
        </w:tabs>
        <w:ind w:firstLine="495" w:left="0" w:right="0"/>
      </w:pPr>
      <w:bookmarkStart w:id="128" w:name="__DdeLink__7815_1262773321"/>
      <w:bookmarkEnd w:id="128"/>
      <w:r>
        <w:rPr>
          <w:b/>
        </w:rPr>
        <w:t xml:space="preserve">Scripts files for processing in SVN at: </w:t>
      </w:r>
    </w:p>
    <w:p>
      <w:pPr>
        <w:pStyle w:val="style0"/>
        <w:tabs>
          <w:tab w:leader="none" w:pos="0" w:val="left"/>
        </w:tabs>
        <w:ind w:firstLine="495" w:left="0" w:right="0"/>
      </w:pPr>
      <w:r>
        <w:rPr/>
        <w:t>/SeiSVN/seismic/HEPI/Common/Testing_Functions_HEPI/</w:t>
      </w:r>
      <w:bookmarkStart w:id="129" w:name="__DdeLink__7813_1262773321"/>
      <w:bookmarkEnd w:id="129"/>
      <w:r>
        <w:rPr/>
        <w:t>Static_Test_Local_Basis_HEPI.m</w:t>
      </w:r>
    </w:p>
    <w:p>
      <w:pPr>
        <w:pStyle w:val="style0"/>
        <w:tabs>
          <w:tab w:leader="none" w:pos="0" w:val="left"/>
        </w:tabs>
      </w:pPr>
      <w:bookmarkStart w:id="130" w:name="__DdeLink__7815_12627733211"/>
      <w:bookmarkStart w:id="131" w:name="__DdeLink__7815_12627733211"/>
      <w:bookmarkEnd w:id="131"/>
      <w:r>
        <w:rPr/>
      </w:r>
    </w:p>
    <w:p>
      <w:pPr>
        <w:pStyle w:val="style143"/>
      </w:pPr>
      <w:r>
        <w:rPr/>
        <w:t xml:space="preserve">. </w:t>
      </w:r>
      <w:r>
        <w:rPr>
          <w:b/>
          <w:bCs/>
          <w:i/>
          <w:iCs/>
        </w:rPr>
        <w:t>Drive of 100 counts (in progress)</w:t>
      </w:r>
    </w:p>
    <w:tbl>
      <w:tblPr>
        <w:jc w:val="left"/>
        <w:tblInd w:type="dxa" w:w="-15"/>
        <w:tblBorders/>
      </w:tblPr>
      <w:tblGrid>
        <w:gridCol w:w="959"/>
        <w:gridCol w:w="960"/>
        <w:gridCol w:w="960"/>
        <w:gridCol w:w="960"/>
        <w:gridCol w:w="960"/>
        <w:gridCol w:w="960"/>
        <w:gridCol w:w="960"/>
        <w:gridCol w:w="960"/>
        <w:gridCol w:w="960"/>
      </w:tblGrid>
      <w:tr>
        <w:trPr>
          <w:trHeight w:hRule="atLeast" w:val="300"/>
          <w:cantSplit w:val="false"/>
        </w:trPr>
        <w:tc>
          <w:tcPr>
            <w:tcW w:type="dxa" w:w="959"/>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r>
          </w:p>
        </w:tc>
        <w:tc>
          <w:tcPr>
            <w:tcW w:type="dxa" w:w="9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r>
      <w:tr>
        <w:trPr>
          <w:trHeight w:hRule="atLeast" w:val="300"/>
          <w:cantSplit w:val="false"/>
        </w:trPr>
        <w:tc>
          <w:tcPr>
            <w:tcW w:type="dxa" w:w="9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8350.9418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-5056.1049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-327.0384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-1879.51872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-178.9088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209.3388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192.18836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-370.0864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-4104.049</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8306.5349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-1822.531974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-448.11792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134.8916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-100.465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-301.80668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139.7868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-233.5984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-2065.5751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8170.4572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-4615.56692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178.7694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-183.7838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-239.1095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118.1154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-1807.7793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-701.3897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-4558.2268</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9000.50088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-488.2914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367.591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-1.00976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-441.0128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-87.0864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1.56718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302.0506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-174.51156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7490.8344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918.82254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-1656.35338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784.3534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182.2748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-404.56522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-128.0876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486.57564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833.8752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7402.042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675.00182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-1629.1482</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309.8688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-477.33554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-80.087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272.82164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-1436.731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1099.12212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7236.42762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695.124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-177.839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74.78868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291.7698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-126.46464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955.694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-1414.8926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824.44686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7487.4108</w:t>
            </w:r>
          </w:p>
        </w:tc>
      </w:tr>
    </w:tbl>
    <w:p>
      <w:pPr>
        <w:pStyle w:val="style143"/>
      </w:pPr>
      <w:r>
        <w:rPr/>
      </w:r>
    </w:p>
    <w:p>
      <w:pPr>
        <w:pStyle w:val="style176"/>
        <w:spacing w:after="28" w:before="28"/>
        <w:jc w:val="center"/>
      </w:pPr>
      <w:r>
        <w:rPr>
          <w:i/>
          <w:iCs/>
          <w:u w:val="single"/>
        </w:rPr>
        <w:t>Table - Main couplings and cross couplings</w:t>
      </w:r>
    </w:p>
    <w:p>
      <w:pPr>
        <w:pStyle w:val="style176"/>
        <w:spacing w:after="28" w:before="28"/>
        <w:jc w:val="center"/>
      </w:pPr>
      <w:r>
        <w:rPr/>
      </w:r>
    </w:p>
    <w:p>
      <w:pPr>
        <w:pStyle w:val="style176"/>
        <w:spacing w:after="28" w:before="28"/>
        <w:jc w:val="center"/>
      </w:pPr>
      <w:r>
        <w:rPr/>
      </w:r>
    </w:p>
    <w:p>
      <w:pPr>
        <w:pStyle w:val="style143"/>
      </w:pPr>
      <w:bookmarkStart w:id="132" w:name="__DdeLink__7799_1262773321"/>
      <w:bookmarkEnd w:id="132"/>
      <w:r>
        <w:rPr/>
        <w:t xml:space="preserve">. </w:t>
      </w:r>
      <w:r>
        <w:rPr>
          <w:b/>
          <w:bCs/>
          <w:i/>
          <w:iCs/>
        </w:rPr>
        <w:t>Drive of 1000 counts (in progress)</w:t>
      </w:r>
    </w:p>
    <w:tbl>
      <w:tblPr>
        <w:jc w:val="left"/>
        <w:tblInd w:type="dxa" w:w="-15"/>
        <w:tblBorders/>
      </w:tblPr>
      <w:tblGrid>
        <w:gridCol w:w="959"/>
        <w:gridCol w:w="960"/>
        <w:gridCol w:w="960"/>
        <w:gridCol w:w="960"/>
        <w:gridCol w:w="960"/>
        <w:gridCol w:w="960"/>
        <w:gridCol w:w="960"/>
        <w:gridCol w:w="960"/>
        <w:gridCol w:w="960"/>
      </w:tblGrid>
      <w:tr>
        <w:trPr>
          <w:trHeight w:hRule="atLeast" w:val="300"/>
          <w:cantSplit w:val="false"/>
        </w:trPr>
        <w:tc>
          <w:tcPr>
            <w:tcW w:type="dxa" w:w="959"/>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r>
          </w:p>
        </w:tc>
        <w:tc>
          <w:tcPr>
            <w:tcW w:type="dxa" w:w="9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r>
      <w:tr>
        <w:trPr>
          <w:trHeight w:hRule="atLeast" w:val="300"/>
          <w:cantSplit w:val="false"/>
        </w:trPr>
        <w:tc>
          <w:tcPr>
            <w:tcW w:type="dxa" w:w="9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8350.9418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-5056.1049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-327.0384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-1879.51872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-178.9088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209.3388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192.18836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-370.0864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-4104.049</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8306.5349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-1822.531974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-448.11792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134.8916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-100.465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-301.80668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139.7868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-233.5984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-2065.5751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8170.4572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-4615.56692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178.7694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-183.7838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-239.1095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118.1154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-1807.7793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-701.3897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-4558.2268</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9000.50088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-488.2914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367.591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-1.00976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-441.0128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-87.0864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1.56718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302.0506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-174.51156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7490.8344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918.82254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-1656.35338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784.3534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182.2748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-404.56522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-128.0876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486.57564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833.8752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7402.042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675.00182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-1629.1482</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309.8688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-477.33554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-80.087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272.82164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-1436.731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1099.12212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7236.42762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695.124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-177.839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74.78868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291.7698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-126.46464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955.694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-1414.8926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824.44686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7487.4108</w:t>
            </w:r>
          </w:p>
        </w:tc>
      </w:tr>
    </w:tbl>
    <w:p>
      <w:pPr>
        <w:pStyle w:val="style143"/>
      </w:pPr>
      <w:r>
        <w:rPr/>
      </w:r>
    </w:p>
    <w:p>
      <w:pPr>
        <w:pStyle w:val="style176"/>
        <w:spacing w:after="28" w:before="28"/>
        <w:jc w:val="center"/>
      </w:pPr>
      <w:r>
        <w:rPr>
          <w:i/>
          <w:iCs/>
          <w:u w:val="single"/>
        </w:rPr>
        <w:t>Table - Main couplings and cross couplings</w:t>
      </w:r>
    </w:p>
    <w:p>
      <w:pPr>
        <w:pStyle w:val="style0"/>
        <w:widowControl/>
        <w:suppressAutoHyphens w:val="false"/>
      </w:pPr>
      <w:r>
        <w:rPr/>
      </w:r>
    </w:p>
    <w:p>
      <w:pPr>
        <w:pStyle w:val="style0"/>
        <w:pageBreakBefore/>
        <w:widowControl/>
        <w:suppressAutoHyphens w:val="false"/>
      </w:pPr>
      <w:r>
        <w:rPr/>
      </w:r>
    </w:p>
    <w:p>
      <w:pPr>
        <w:pStyle w:val="style143"/>
      </w:pPr>
      <w:r>
        <w:rPr/>
        <w:t xml:space="preserve">. </w:t>
        <w:pict>
          <v:rect id="shape_0" style="position:absolute;margin-left:49.5pt;margin-top:150.9pt;width:188.95pt;height:109.45pt">
            <v:wrap v:type="none"/>
            <v:fill detectmouseclick="t"/>
            <v:stroke color="red" joinstyle="round" weight="73080"/>
          </v:rect>
        </w:pict>
        <w:pict>
          <v:rect id="shape_0" style="position:absolute;margin-left:51.75pt;margin-top:36.95pt;width:188.95pt;height:109.45pt">
            <v:wrap v:type="none"/>
            <v:fill detectmouseclick="t"/>
            <v:stroke color="lime" joinstyle="round" weight="73080"/>
          </v:rect>
        </w:pict>
        <w:pict>
          <v:rect id="shape_0" style="position:absolute;margin-left:244.5pt;margin-top:152.2pt;width:188.95pt;height:109.45pt">
            <v:wrap v:type="none"/>
            <v:fill detectmouseclick="t"/>
            <v:stroke color="lime" joinstyle="round" weight="73080"/>
          </v:rect>
        </w:pict>
      </w:r>
      <w:r>
        <w:rPr>
          <w:b/>
          <w:bCs/>
          <w:i/>
          <w:iCs/>
        </w:rPr>
        <w:t>Drive of 5000 counts (Nominal value handled by testing script)</w:t>
      </w:r>
    </w:p>
    <w:tbl>
      <w:tblPr>
        <w:jc w:val="left"/>
        <w:tblInd w:type="dxa" w:w="-15"/>
        <w:tblBorders/>
      </w:tblPr>
      <w:tblGrid>
        <w:gridCol w:w="959"/>
        <w:gridCol w:w="960"/>
        <w:gridCol w:w="960"/>
        <w:gridCol w:w="960"/>
        <w:gridCol w:w="960"/>
        <w:gridCol w:w="960"/>
        <w:gridCol w:w="960"/>
        <w:gridCol w:w="960"/>
        <w:gridCol w:w="960"/>
      </w:tblGrid>
      <w:tr>
        <w:trPr>
          <w:trHeight w:hRule="atLeast" w:val="300"/>
          <w:cantSplit w:val="false"/>
        </w:trPr>
        <w:tc>
          <w:tcPr>
            <w:tcW w:type="dxa" w:w="959"/>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r>
          </w:p>
        </w:tc>
        <w:tc>
          <w:tcPr>
            <w:tcW w:type="dxa" w:w="9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r>
      <w:tr>
        <w:trPr>
          <w:trHeight w:hRule="atLeast" w:val="300"/>
          <w:cantSplit w:val="false"/>
        </w:trPr>
        <w:tc>
          <w:tcPr>
            <w:tcW w:type="dxa" w:w="9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8350.9418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-5056.1049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-327.0384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-1879.51872</w:t>
              <w:pict>
                <v:oval id="shape_0" style="position:absolute;margin-left:-58.6pt;margin-top:1.65pt;width:56.2pt;height:27.7pt">
                  <v:wrap v:type="none"/>
                  <v:fill detectmouseclick="t"/>
                  <v:stroke color="blue" joinstyle="round" weight="54720"/>
                </v:oval>
              </w:pic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-178.9088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209.3388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192.18836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-370.0864</w:t>
              <w:pict>
                <v:rect id="shape_0" style="position:absolute;margin-left:-147.85pt;margin-top:1.65pt;width:188.95pt;height:109.45pt">
                  <v:wrap v:type="none"/>
                  <v:fill detectmouseclick="t"/>
                  <v:stroke color="red" joinstyle="round" weight="73080"/>
                </v:rect>
              </w:pic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-4104.049</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8306.5349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-1822.531974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-448.11792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134.8916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-100.465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-301.80668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139.7868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-233.5984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-2065.5751</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8170.4572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-4615.56692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178.7694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-183.7838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-239.1095</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118.1154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H4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-1807.7793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-701.3897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-4558.2268</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9000.50088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-488.2914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367.591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-1.00976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-441.0128</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-87.0864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1.56718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302.0506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-174.51156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7490.8344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918.82254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-1656.35338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784.3534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182.2748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-404.56522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-128.0876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486.57564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833.8752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7402.042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675.00182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-1629.1482</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V3</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309.8688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-477.33554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-80.087</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272.82164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-1436.731</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1099.12212</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7236.42762</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695.124</w:t>
            </w:r>
          </w:p>
        </w:tc>
      </w:tr>
      <w:tr>
        <w:trPr>
          <w:trHeight w:hRule="atLeast" w:val="300"/>
          <w:cantSplit w:val="false"/>
        </w:trPr>
        <w:tc>
          <w:tcPr>
            <w:tcW w:type="dxa" w:w="959"/>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V4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-177.839</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74.78868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291.7698</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-126.46464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955.694</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-1414.8926</w:t>
            </w:r>
          </w:p>
        </w:tc>
        <w:tc>
          <w:tcPr>
            <w:tcW w:type="dxa" w:w="960"/>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824.44686</w:t>
            </w:r>
          </w:p>
        </w:tc>
        <w:tc>
          <w:tcPr>
            <w:tcW w:type="dxa" w:w="960"/>
            <w:tcBorders>
              <w:bottom w:color="00000A" w:space="0" w:sz="4" w:val="single"/>
              <w:right w:color="00000A" w:space="0" w:sz="4" w:val="single"/>
            </w:tcBorders>
            <w:shd w:fill="FF665E"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sz w:val="16"/>
                <w:szCs w:val="16"/>
                <w:lang w:eastAsia="en-US"/>
              </w:rPr>
              <w:t>7487.4108</w:t>
            </w:r>
          </w:p>
        </w:tc>
      </w:tr>
    </w:tbl>
    <w:p>
      <w:pPr>
        <w:pStyle w:val="style143"/>
      </w:pPr>
      <w:r>
        <w:rPr/>
      </w:r>
    </w:p>
    <w:p>
      <w:pPr>
        <w:pStyle w:val="style176"/>
        <w:spacing w:after="28" w:before="28"/>
        <w:jc w:val="center"/>
      </w:pPr>
      <w:r>
        <w:rPr>
          <w:i/>
          <w:iCs/>
          <w:u w:val="single"/>
        </w:rPr>
        <w:t>Table - Main couplings and cross couplings</w:t>
      </w:r>
    </w:p>
    <w:p>
      <w:pPr>
        <w:pStyle w:val="style154"/>
        <w:spacing w:after="28" w:before="28"/>
        <w:jc w:val="both"/>
      </w:pPr>
      <w:r>
        <w:rPr/>
        <w:t xml:space="preserve"> </w:t>
      </w:r>
    </w:p>
    <w:p>
      <w:pPr>
        <w:pStyle w:val="style154"/>
        <w:spacing w:after="28" w:before="28"/>
        <w:jc w:val="both"/>
      </w:pPr>
      <w:bookmarkStart w:id="133" w:name="__DdeLink__7839_1262773321"/>
      <w:bookmarkEnd w:id="133"/>
      <w:r>
        <w:rPr>
          <w:u w:val="single"/>
        </w:rPr>
        <w:t>Issues/difficulties encountered during this test</w:t>
      </w:r>
      <w:r>
        <w:rPr/>
        <w:t xml:space="preserve">: </w:t>
      </w:r>
    </w:p>
    <w:p>
      <w:pPr>
        <w:pStyle w:val="style0"/>
      </w:pPr>
      <w:r>
        <w:rPr>
          <w:b/>
        </w:rPr>
        <w:t>Acceptance criteria:</w:t>
      </w:r>
      <w:bookmarkStart w:id="134" w:name="__DdeLink__7830_1262773321"/>
      <w:bookmarkEnd w:id="134"/>
      <w:r>
        <w:rPr>
          <w:b/>
        </w:rPr>
        <w:t xml:space="preserve"> </w:t>
      </w:r>
      <w:r>
        <w:rPr/>
        <w:t>The results in these three tables must be the same (within xxx%)</w:t>
      </w:r>
    </w:p>
    <w:p>
      <w:pPr>
        <w:pStyle w:val="style0"/>
        <w:tabs>
          <w:tab w:leader="none" w:pos="360" w:val="left"/>
          <w:tab w:leader="none" w:pos="5220" w:val="left"/>
          <w:tab w:leader="none" w:pos="7470" w:val="left"/>
        </w:tabs>
        <w:suppressAutoHyphens w:val="false"/>
        <w:spacing w:after="200" w:before="0" w:line="276" w:lineRule="auto"/>
        <w:jc w:val="both"/>
      </w:pPr>
      <w:bookmarkStart w:id="135" w:name="__DdeLink__7832_1262773321"/>
      <w:r>
        <w:rPr>
          <w:b/>
        </w:rPr>
        <w:t>Test result:</w:t>
        <w:tab/>
        <w:t xml:space="preserve">Passed: </w:t>
      </w:r>
      <w:r>
        <w:rPr>
          <w:b/>
          <w:u w:val="single"/>
        </w:rPr>
        <w:t xml:space="preserve">      </w:t>
      </w:r>
      <w:r>
        <w:rPr>
          <w:b/>
        </w:rPr>
        <w:tab/>
        <w:t xml:space="preserve">Failed: </w:t>
      </w:r>
      <w:r>
        <w:rPr>
          <w:b/>
          <w:u w:val="single"/>
        </w:rPr>
        <w:t xml:space="preserve">       </w:t>
      </w:r>
      <w:r>
        <w:rPr>
          <w:b/>
        </w:rPr>
        <w:t xml:space="preserve">  </w:t>
      </w:r>
      <w:bookmarkEnd w:id="135"/>
      <w:r>
        <w:rPr>
          <w:b/>
          <w:color w:val="FFFFFF"/>
        </w:rPr>
        <w:t>.</w:t>
      </w:r>
    </w:p>
    <w:p>
      <w:pPr>
        <w:pStyle w:val="style0"/>
        <w:widowControl/>
        <w:suppressAutoHyphens w:val="false"/>
      </w:pPr>
      <w:r>
        <w:rPr>
          <w:b/>
          <w:color w:val="FF3366"/>
        </w:rPr>
        <w:t>Looking at the diagonal drives and offset coupling is certainly valid.  However, this script was never in a form (at LHO) to run the three offset rounds and then normalize the results.  This seems excessive and I (HughR) had not looked at this document, I only looked at previous assembly validation reports, HAM2 for example notes:</w:t>
      </w:r>
    </w:p>
    <w:p>
      <w:pPr>
        <w:pStyle w:val="style0"/>
        <w:widowControl/>
        <w:suppressAutoHyphens w:val="false"/>
      </w:pPr>
      <w:r>
        <w:rPr>
          <w:rFonts w:ascii="sans-serif" w:hAnsi="sans-serif"/>
          <w:b/>
          <w:i/>
          <w:iCs/>
          <w:color w:val="FF3366"/>
          <w:sz w:val="18"/>
          <w:szCs w:val="18"/>
        </w:rPr>
        <w:t>Drive of 1000 and 2500 counts were skipped. Static_Test_Local_Basis_HEPI.m drives at 5000</w:t>
      </w:r>
    </w:p>
    <w:p>
      <w:pPr>
        <w:pStyle w:val="style0"/>
        <w:widowControl/>
        <w:suppressAutoHyphens w:val="false"/>
      </w:pPr>
      <w:r>
        <w:rPr>
          <w:rFonts w:ascii="sans-serif" w:hAnsi="sans-serif"/>
          <w:b/>
          <w:i/>
          <w:iCs/>
          <w:color w:val="FF3366"/>
          <w:sz w:val="18"/>
          <w:szCs w:val="18"/>
        </w:rPr>
        <w:t>counts only.</w:t>
      </w:r>
    </w:p>
    <w:p>
      <w:pPr>
        <w:pStyle w:val="style143"/>
      </w:pPr>
      <w:r>
        <w:rPr>
          <w:b/>
          <w:color w:val="FF3366"/>
        </w:rPr>
        <w:t>It makes more sense to speak specifically about the range of acceptable amplitudes on the off diagonal groups:</w:t>
      </w:r>
    </w:p>
    <w:p>
      <w:pPr>
        <w:pStyle w:val="style143"/>
      </w:pPr>
      <w:r>
        <w:rPr>
          <w:b/>
          <w:color w:val="FF3366"/>
        </w:rPr>
        <w:t>The elements inside the above red boxes should be significantly less than those off diagonal elements in the green boxes to their left or right.  That being said, note too the size of the element in H1 row and the H3 Column and how much smaller it is than the adjacent H2 &amp; H4 Columns.  The H1 Actuation (H1 Row) moves H2 the most as it is the same crossbeam, it pivots about the opposite corner (H3—smallest value.)</w:t>
      </w:r>
    </w:p>
    <w:p>
      <w:pPr>
        <w:pStyle w:val="style143"/>
      </w:pPr>
      <w:r>
        <w:rPr>
          <w:b/>
        </w:rPr>
      </w:r>
    </w:p>
    <w:p>
      <w:pPr>
        <w:pStyle w:val="style143"/>
      </w:pPr>
      <w:r>
        <w:rPr>
          <w:b/>
        </w:rPr>
      </w:r>
    </w:p>
    <w:p>
      <w:pPr>
        <w:pStyle w:val="style143"/>
      </w:pPr>
      <w:r>
        <w:rPr>
          <w:b/>
        </w:rPr>
      </w:r>
    </w:p>
    <w:p>
      <w:pPr>
        <w:pStyle w:val="style143"/>
      </w:pPr>
      <w:r>
        <w:rPr>
          <w:b/>
        </w:rPr>
      </w:r>
    </w:p>
    <w:p>
      <w:pPr>
        <w:pStyle w:val="style2"/>
        <w:numPr>
          <w:ilvl w:val="1"/>
          <w:numId w:val="1"/>
        </w:numPr>
      </w:pPr>
      <w:bookmarkStart w:id="136" w:name="__RefHeading__444_1185372569"/>
      <w:bookmarkStart w:id="137" w:name="__RefHeading__122_1080062798"/>
      <w:bookmarkStart w:id="138" w:name="__RefHeading__143_968872343"/>
      <w:bookmarkStart w:id="139" w:name="__RefHeading__23863_1262773321"/>
      <w:bookmarkStart w:id="140" w:name="__RefHeading__159_78310084"/>
      <w:bookmarkStart w:id="141" w:name="__RefHeading__23668_1262773321"/>
      <w:bookmarkStart w:id="142" w:name="__RefHeading__850_1185372569"/>
      <w:bookmarkStart w:id="143" w:name="__RefHeading__202_1185372569"/>
      <w:bookmarkStart w:id="144" w:name="__RefHeading__12396_1262773321"/>
      <w:bookmarkStart w:id="145" w:name="__RefHeading__106_503471281"/>
      <w:bookmarkStart w:id="146" w:name="__RefHeading__182_870708744"/>
      <w:bookmarkStart w:id="147" w:name="__RefHeading__23760_1262773321"/>
      <w:bookmarkStart w:id="148" w:name="_Toc244945164"/>
      <w:bookmarkEnd w:id="136"/>
      <w:bookmarkEnd w:id="137"/>
      <w:bookmarkEnd w:id="138"/>
      <w:bookmarkEnd w:id="139"/>
      <w:bookmarkEnd w:id="140"/>
      <w:bookmarkEnd w:id="141"/>
      <w:bookmarkEnd w:id="142"/>
      <w:bookmarkEnd w:id="143"/>
      <w:bookmarkEnd w:id="144"/>
      <w:bookmarkEnd w:id="145"/>
      <w:bookmarkEnd w:id="146"/>
      <w:bookmarkEnd w:id="147"/>
      <w:bookmarkEnd w:id="148"/>
      <w:r>
        <w:rPr/>
        <w:t>Linearity Test/Range of motion in the local basis</w:t>
      </w:r>
    </w:p>
    <w:p>
      <w:pPr>
        <w:pStyle w:val="style0"/>
        <w:tabs>
          <w:tab w:leader="none" w:pos="0" w:val="left"/>
        </w:tabs>
        <w:ind w:firstLine="495" w:left="0" w:right="0"/>
      </w:pPr>
      <w:r>
        <w:rPr>
          <w:b/>
        </w:rPr>
        <w:t xml:space="preserve">Scripts files for processing and plotting in SVN at: </w:t>
      </w:r>
    </w:p>
    <w:p>
      <w:pPr>
        <w:pStyle w:val="style0"/>
        <w:tabs>
          <w:tab w:leader="none" w:pos="0" w:val="left"/>
        </w:tabs>
        <w:ind w:firstLine="495" w:left="0" w:right="0"/>
      </w:pPr>
      <w:bookmarkStart w:id="149" w:name="__DdeLink__7811_12627733211"/>
      <w:bookmarkEnd w:id="149"/>
      <w:r>
        <w:rPr/>
        <w:t>/SeiSVN/seismic/HEPI/Common/Testing_Functions_HEPI/Linearity_Test_Awgstream_HEPI.m</w:t>
      </w:r>
    </w:p>
    <w:p>
      <w:pPr>
        <w:pStyle w:val="style0"/>
        <w:tabs>
          <w:tab w:leader="none" w:pos="0" w:val="left"/>
        </w:tabs>
        <w:ind w:firstLine="495" w:left="0" w:right="0"/>
      </w:pPr>
      <w:r>
        <w:rPr/>
      </w:r>
    </w:p>
    <w:p>
      <w:pPr>
        <w:pStyle w:val="style0"/>
        <w:tabs>
          <w:tab w:leader="none" w:pos="0" w:val="left"/>
        </w:tabs>
      </w:pPr>
      <w:r>
        <w:rPr>
          <w:b/>
        </w:rPr>
        <w:t>Data in SVN at:</w:t>
      </w:r>
    </w:p>
    <w:p>
      <w:pPr>
        <w:pStyle w:val="style0"/>
        <w:tabs>
          <w:tab w:leader="none" w:pos="0" w:val="left"/>
        </w:tabs>
        <w:ind w:firstLine="495" w:left="0" w:right="0"/>
      </w:pPr>
      <w:r>
        <w:rPr/>
        <w:t>SeiSVN/seismic/HEPI/M1/HAMX/Data/Spectra/Undamped/</w:t>
      </w:r>
    </w:p>
    <w:p>
      <w:pPr>
        <w:pStyle w:val="style158"/>
        <w:tabs>
          <w:tab w:leader="none" w:pos="0" w:val="left"/>
        </w:tabs>
        <w:ind w:firstLine="495" w:left="0" w:right="0"/>
      </w:pPr>
      <w:r>
        <w:rPr/>
        <w:t>M1_ISI_HAMX_ASD_m_CPS_T240_L4C_GS13_Locked_vs_Unlocked_2012_02_07.mat</w:t>
      </w:r>
    </w:p>
    <w:p>
      <w:pPr>
        <w:pStyle w:val="style0"/>
        <w:tabs>
          <w:tab w:leader="none" w:pos="0" w:val="left"/>
        </w:tabs>
        <w:suppressAutoHyphens w:val="false"/>
      </w:pPr>
      <w:r>
        <w:rPr>
          <w:b/>
        </w:rPr>
        <w:t>Figures in SVN at:</w:t>
      </w:r>
    </w:p>
    <w:p>
      <w:pPr>
        <w:pStyle w:val="style0"/>
        <w:tabs>
          <w:tab w:leader="none" w:pos="0" w:val="left"/>
        </w:tabs>
        <w:suppressAutoHyphens w:val="false"/>
        <w:spacing w:line="276" w:lineRule="auto"/>
      </w:pPr>
      <w:r>
        <w:rPr/>
        <w:t>/SeiSVN/seismic/HEPI/M1/HAMX/Data/Figures/Spectra/Undamped</w:t>
      </w:r>
    </w:p>
    <w:p>
      <w:pPr>
        <w:pStyle w:val="style0"/>
        <w:tabs>
          <w:tab w:leader="none" w:pos="0" w:val="left"/>
        </w:tabs>
        <w:suppressAutoHyphens w:val="false"/>
        <w:spacing w:line="276" w:lineRule="auto"/>
      </w:pPr>
      <w:r>
        <w:rPr/>
      </w:r>
    </w:p>
    <w:p>
      <w:pPr>
        <w:pStyle w:val="style0"/>
        <w:tabs>
          <w:tab w:leader="none" w:pos="0" w:val="left"/>
        </w:tabs>
        <w:suppressAutoHyphens w:val="false"/>
        <w:spacing w:line="276" w:lineRule="auto"/>
      </w:pPr>
      <w:r>
        <w:rPr/>
      </w:r>
    </w:p>
    <w:tbl>
      <w:tblPr>
        <w:jc w:val="center"/>
        <w:tblBorders/>
      </w:tblPr>
      <w:tblGrid>
        <w:gridCol w:w="1299"/>
        <w:gridCol w:w="1260"/>
        <w:gridCol w:w="1101"/>
      </w:tblGrid>
      <w:tr>
        <w:trPr>
          <w:trHeight w:hRule="atLeast" w:val="300"/>
          <w:cantSplit w:val="false"/>
        </w:trPr>
        <w:tc>
          <w:tcPr>
            <w:tcW w:type="dxa" w:w="1299"/>
            <w:tcBorders/>
            <w:shd w:fill="FFFFFF" w:val="clear"/>
            <w:tcMar>
              <w:top w:type="dxa" w:w="0"/>
              <w:left w:type="dxa" w:w="108"/>
              <w:bottom w:type="dxa" w:w="0"/>
              <w:right w:type="dxa" w:w="108"/>
            </w:tcMar>
            <w:vAlign w:val="bottom"/>
          </w:tcPr>
          <w:p>
            <w:pPr>
              <w:pStyle w:val="style0"/>
              <w:widowControl/>
              <w:suppressAutoHyphens w:val="false"/>
            </w:pPr>
            <w:r>
              <w:rPr>
                <w:rFonts w:ascii="Calibri" w:hAnsi="Calibri"/>
                <w:color w:val="000000"/>
                <w:lang w:eastAsia="en-US"/>
              </w:rPr>
            </w:r>
          </w:p>
        </w:tc>
        <w:tc>
          <w:tcPr>
            <w:tcW w:type="dxa" w:w="12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Slopes</w:t>
            </w:r>
          </w:p>
        </w:tc>
        <w:tc>
          <w:tcPr>
            <w:tcW w:type="dxa" w:w="1101"/>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Offsets</w:t>
            </w:r>
          </w:p>
        </w:tc>
      </w:tr>
      <w:tr>
        <w:trPr>
          <w:trHeight w:hRule="atLeast" w:val="300"/>
          <w:cantSplit w:val="false"/>
        </w:trPr>
        <w:tc>
          <w:tcPr>
            <w:tcW w:type="dxa" w:w="1299"/>
            <w:tcBorders>
              <w:top w:color="00000A" w:space="0" w:sz="4" w:val="single"/>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H1</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1.63</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1800.40</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H2</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1.88</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-522.55</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H3</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1.63</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1959.94</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H4</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1.76</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-177.98</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V1</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1.54</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-4082.29</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V2</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1.54</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-1558.79</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V3</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1.42</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-516.54</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V4</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1.56</w:t>
            </w:r>
          </w:p>
        </w:tc>
        <w:tc>
          <w:tcPr>
            <w:tcW w:type="dxa" w:w="1101"/>
            <w:tcBorders>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-5144.56</w:t>
            </w:r>
          </w:p>
        </w:tc>
      </w:tr>
    </w:tbl>
    <w:p>
      <w:pPr>
        <w:pStyle w:val="style0"/>
        <w:tabs>
          <w:tab w:leader="none" w:pos="0" w:val="left"/>
        </w:tabs>
        <w:suppressAutoHyphens w:val="false"/>
        <w:spacing w:line="276" w:lineRule="auto"/>
      </w:pPr>
      <w:r>
        <w:rPr/>
      </w:r>
    </w:p>
    <w:p>
      <w:pPr>
        <w:pStyle w:val="style0"/>
        <w:tabs>
          <w:tab w:leader="none" w:pos="0" w:val="left"/>
        </w:tabs>
        <w:suppressAutoHyphens w:val="false"/>
        <w:spacing w:line="276" w:lineRule="auto"/>
      </w:pPr>
      <w:r>
        <w:rPr/>
      </w:r>
    </w:p>
    <w:p>
      <w:pPr>
        <w:pStyle w:val="style154"/>
        <w:spacing w:after="28" w:before="28"/>
        <w:jc w:val="both"/>
      </w:pPr>
      <w:bookmarkStart w:id="150" w:name="__DdeLink__7842_1262773321"/>
      <w:r>
        <w:rPr>
          <w:u w:val="single"/>
        </w:rPr>
        <w:t>Issues/difficulties encountered during this test</w:t>
      </w:r>
      <w:bookmarkEnd w:id="150"/>
      <w:r>
        <w:rPr/>
        <w:t xml:space="preserve">: </w:t>
      </w:r>
    </w:p>
    <w:p>
      <w:pPr>
        <w:pStyle w:val="style154"/>
        <w:spacing w:after="28" w:before="28"/>
        <w:jc w:val="both"/>
      </w:pPr>
      <w:r>
        <w:rPr/>
      </w:r>
    </w:p>
    <w:p>
      <w:pPr>
        <w:pStyle w:val="style0"/>
      </w:pPr>
      <w:r>
        <w:rPr>
          <w:b/>
        </w:rPr>
        <w:t xml:space="preserve">Acceptance criteria: </w:t>
      </w:r>
      <w:r>
        <w:rPr>
          <w:b/>
          <w:color w:val="FF3366"/>
        </w:rPr>
        <w:t>Very important test, some range of acceptable values would be nice to have, Fabrice?</w:t>
      </w:r>
    </w:p>
    <w:p>
      <w:pPr>
        <w:pStyle w:val="style0"/>
        <w:numPr>
          <w:ilvl w:val="0"/>
          <w:numId w:val="2"/>
        </w:numPr>
        <w:tabs>
          <w:tab w:leader="none" w:pos="720" w:val="left"/>
        </w:tabs>
        <w:suppressAutoHyphens w:val="false"/>
        <w:spacing w:after="200" w:before="0" w:line="276" w:lineRule="auto"/>
      </w:pPr>
      <w:r>
        <w:rPr/>
      </w:r>
    </w:p>
    <w:p>
      <w:pPr>
        <w:pStyle w:val="style154"/>
        <w:spacing w:after="28" w:before="28"/>
        <w:jc w:val="both"/>
      </w:pPr>
      <w:r>
        <w:rPr/>
      </w:r>
    </w:p>
    <w:p>
      <w:pPr>
        <w:pStyle w:val="style0"/>
        <w:tabs>
          <w:tab w:leader="none" w:pos="360" w:val="left"/>
          <w:tab w:leader="none" w:pos="5220" w:val="left"/>
          <w:tab w:leader="none" w:pos="7470" w:val="left"/>
        </w:tabs>
        <w:suppressAutoHyphens w:val="false"/>
        <w:spacing w:after="200" w:before="0" w:line="276" w:lineRule="auto"/>
        <w:jc w:val="both"/>
      </w:pPr>
      <w:bookmarkStart w:id="151" w:name="__DdeLink__7867_1262773321"/>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bookmarkEnd w:id="151"/>
      <w:r>
        <w:rPr>
          <w:b/>
          <w:color w:val="FFFFFF"/>
        </w:rPr>
        <w:t>.</w:t>
      </w:r>
    </w:p>
    <w:p>
      <w:pPr>
        <w:pStyle w:val="style2"/>
        <w:tabs>
          <w:tab w:leader="none" w:pos="0" w:val="left"/>
        </w:tabs>
        <w:suppressAutoHyphens w:val="false"/>
        <w:spacing w:line="276" w:lineRule="auto"/>
      </w:pPr>
      <w:r>
        <w:rPr/>
      </w:r>
    </w:p>
    <w:p>
      <w:pPr>
        <w:pStyle w:val="style0"/>
        <w:widowControl/>
        <w:suppressAutoHyphens w:val="false"/>
      </w:pPr>
      <w:r>
        <w:rPr/>
      </w:r>
    </w:p>
    <w:p>
      <w:pPr>
        <w:pStyle w:val="style2"/>
        <w:pageBreakBefore/>
        <w:numPr>
          <w:ilvl w:val="1"/>
          <w:numId w:val="1"/>
        </w:numPr>
        <w:tabs>
          <w:tab w:leader="none" w:pos="0" w:val="left"/>
        </w:tabs>
        <w:suppressAutoHyphens w:val="false"/>
        <w:spacing w:line="276" w:lineRule="auto"/>
      </w:pPr>
      <w:bookmarkStart w:id="152" w:name="__RefHeading__854_1185372569"/>
      <w:bookmarkStart w:id="153" w:name="__RefHeading__206_1185372569"/>
      <w:bookmarkStart w:id="154" w:name="__RefHeading__186_870708744"/>
      <w:bookmarkStart w:id="155" w:name="__RefHeading__161_968872343"/>
      <w:bookmarkStart w:id="156" w:name="__RefHeading__163_78310084"/>
      <w:bookmarkStart w:id="157" w:name="__RefHeading__448_1185372569"/>
      <w:bookmarkStart w:id="158" w:name="_Toc244945165"/>
      <w:bookmarkEnd w:id="152"/>
      <w:bookmarkEnd w:id="153"/>
      <w:bookmarkEnd w:id="154"/>
      <w:bookmarkEnd w:id="155"/>
      <w:bookmarkEnd w:id="156"/>
      <w:bookmarkEnd w:id="157"/>
      <w:bookmarkEnd w:id="158"/>
      <w:r>
        <w:rPr/>
        <w:t>Actuator Plate to Shields gap</w:t>
      </w:r>
    </w:p>
    <w:p>
      <w:pPr>
        <w:pStyle w:val="style0"/>
      </w:pPr>
      <w:r>
        <w:rPr/>
      </w:r>
    </w:p>
    <w:p>
      <w:pPr>
        <w:pStyle w:val="style0"/>
      </w:pPr>
      <w:r>
        <w:rPr>
          <w:b/>
          <w:bCs/>
        </w:rPr>
        <w:t>Perform this test ONLY if the range of motion test failed.</w:t>
      </w:r>
    </w:p>
    <w:p>
      <w:pPr>
        <w:pStyle w:val="style0"/>
        <w:jc w:val="center"/>
      </w:pPr>
      <w:r>
        <w:rPr/>
        <w:drawing>
          <wp:inline distB="0" distL="0" distR="0" distT="0">
            <wp:extent cx="6242685" cy="41440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6242685" cy="4144010"/>
                    </a:xfrm>
                    <a:prstGeom prst="rect">
                      <a:avLst/>
                    </a:prstGeom>
                    <a:noFill/>
                    <a:ln w="9525">
                      <a:noFill/>
                      <a:miter lim="800000"/>
                      <a:headEnd/>
                      <a:tailEnd/>
                    </a:ln>
                  </pic:spPr>
                </pic:pic>
              </a:graphicData>
            </a:graphic>
          </wp:inline>
        </w:drawing>
      </w:r>
      <w:r>
        <w:rPr>
          <w:color w:val="FFFFFF"/>
        </w:rPr>
        <w:t>Gap#3</w:t>
      </w:r>
    </w:p>
    <w:p>
      <w:pPr>
        <w:pStyle w:val="style0"/>
        <w:jc w:val="center"/>
      </w:pPr>
      <w:r>
        <w:rPr>
          <w:color w:val="FFFFFF"/>
        </w:rPr>
        <w:t>Gap#2</w:t>
      </w:r>
    </w:p>
    <w:p>
      <w:pPr>
        <w:pStyle w:val="style0"/>
      </w:pPr>
      <w:r>
        <w:rPr/>
        <w:t>Three gaps per actuator need to be checked.</w:t>
      </w:r>
    </w:p>
    <w:p>
      <w:pPr>
        <w:pStyle w:val="style0"/>
      </w:pPr>
      <w:r>
        <w:rPr/>
      </w:r>
    </w:p>
    <w:p>
      <w:pPr>
        <w:pStyle w:val="style0"/>
      </w:pPr>
      <w:r>
        <w:rPr>
          <w:b/>
        </w:rPr>
        <w:t>Acceptance criteria:</w:t>
      </w:r>
    </w:p>
    <w:p>
      <w:pPr>
        <w:pStyle w:val="style0"/>
        <w:numPr>
          <w:ilvl w:val="0"/>
          <w:numId w:val="2"/>
        </w:numPr>
        <w:tabs>
          <w:tab w:leader="none" w:pos="720" w:val="left"/>
        </w:tabs>
      </w:pPr>
      <w:r>
        <w:rPr/>
        <w:t>A 0.1” shim must fit into the gap #1</w:t>
      </w:r>
    </w:p>
    <w:p>
      <w:pPr>
        <w:pStyle w:val="style0"/>
        <w:numPr>
          <w:ilvl w:val="0"/>
          <w:numId w:val="2"/>
        </w:numPr>
        <w:tabs>
          <w:tab w:leader="none" w:pos="720" w:val="left"/>
        </w:tabs>
      </w:pPr>
      <w:r>
        <w:rPr/>
        <w:t>A 0.05 shim must fit into gap #2 and #3</w:t>
      </w:r>
    </w:p>
    <w:p>
      <w:pPr>
        <w:pStyle w:val="style0"/>
        <w:tabs>
          <w:tab w:leader="none" w:pos="720" w:val="left"/>
        </w:tabs>
        <w:jc w:val="center"/>
      </w:pPr>
      <w:r>
        <w:rPr/>
      </w:r>
    </w:p>
    <w:tbl>
      <w:tblPr>
        <w:jc w:val="left"/>
        <w:tblInd w:type="dxa" w:w="1852"/>
        <w:tblBorders>
          <w:top w:color="000001" w:space="0" w:sz="2" w:val="single"/>
          <w:left w:color="000001" w:space="0" w:sz="2" w:val="single"/>
          <w:bottom w:color="000001" w:space="0" w:sz="2" w:val="single"/>
        </w:tblBorders>
      </w:tblPr>
      <w:tblGrid>
        <w:gridCol w:w="925"/>
        <w:gridCol w:w="2540"/>
        <w:gridCol w:w="2572"/>
      </w:tblGrid>
      <w:tr>
        <w:trPr>
          <w:cantSplit w:val="false"/>
        </w:trPr>
        <w:tc>
          <w:tcPr>
            <w:tcW w:type="dxa" w:w="92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r>
          </w:p>
        </w:tc>
        <w:tc>
          <w:tcPr>
            <w:tcW w:type="dxa" w:w="2540"/>
            <w:gridSpan w:val="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Horizontal</w:t>
            </w:r>
          </w:p>
        </w:tc>
        <w:tc>
          <w:tcPr>
            <w:tcW w:type="dxa" w:w="2572"/>
            <w:gridSpan w:val="3"/>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sz w:val="20"/>
                <w:szCs w:val="20"/>
              </w:rPr>
              <w:t>Vertical</w:t>
            </w:r>
          </w:p>
        </w:tc>
      </w:tr>
      <w:tr>
        <w:trPr>
          <w:cantSplit w:val="false"/>
        </w:trPr>
        <w:tc>
          <w:tcPr>
            <w:tcW w:type="dxa" w:w="925"/>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r>
          </w:p>
        </w:tc>
        <w:tc>
          <w:tcPr>
            <w:tcW w:type="dxa" w:w="887"/>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Gap #1</w:t>
            </w:r>
          </w:p>
        </w:tc>
        <w:tc>
          <w:tcPr>
            <w:tcW w:type="dxa" w:w="800"/>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Gap #2</w:t>
            </w:r>
          </w:p>
        </w:tc>
        <w:tc>
          <w:tcPr>
            <w:tcW w:type="dxa" w:w="85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Gap #3</w:t>
            </w:r>
          </w:p>
        </w:tc>
        <w:tc>
          <w:tcPr>
            <w:tcW w:type="dxa" w:w="85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Gap #1</w:t>
            </w:r>
          </w:p>
        </w:tc>
        <w:tc>
          <w:tcPr>
            <w:tcW w:type="dxa" w:w="853"/>
            <w:tcBorders>
              <w:top w:color="000001" w:space="0" w:sz="2" w:val="single"/>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Gap #2</w:t>
            </w:r>
          </w:p>
        </w:tc>
        <w:tc>
          <w:tcPr>
            <w:tcW w:type="dxa" w:w="866"/>
            <w:tcBorders>
              <w:top w:color="000001" w:space="0" w:sz="2" w:val="single"/>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b/>
                <w:bCs/>
                <w:sz w:val="20"/>
                <w:szCs w:val="20"/>
              </w:rPr>
              <w:t>Gap #3</w:t>
            </w:r>
          </w:p>
        </w:tc>
      </w:tr>
      <w:tr>
        <w:trPr>
          <w:cantSplit w:val="false"/>
        </w:trPr>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Pier 1</w:t>
            </w:r>
          </w:p>
        </w:tc>
        <w:tc>
          <w:tcPr>
            <w:tcW w:type="dxa" w:w="887"/>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00"/>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66"/>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r>
      <w:tr>
        <w:trPr>
          <w:cantSplit w:val="false"/>
        </w:trPr>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Pier 2</w:t>
            </w:r>
          </w:p>
        </w:tc>
        <w:tc>
          <w:tcPr>
            <w:tcW w:type="dxa" w:w="887"/>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00"/>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66"/>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r>
      <w:tr>
        <w:trPr>
          <w:cantSplit w:val="false"/>
        </w:trPr>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Pier 3</w:t>
            </w:r>
          </w:p>
        </w:tc>
        <w:tc>
          <w:tcPr>
            <w:tcW w:type="dxa" w:w="887"/>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00"/>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66"/>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r>
      <w:tr>
        <w:trPr>
          <w:cantSplit w:val="false"/>
        </w:trPr>
        <w:tc>
          <w:tcPr>
            <w:tcW w:type="dxa" w:w="925"/>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b/>
                <w:bCs/>
                <w:sz w:val="20"/>
                <w:szCs w:val="20"/>
              </w:rPr>
              <w:t>Pier 4</w:t>
            </w:r>
          </w:p>
        </w:tc>
        <w:tc>
          <w:tcPr>
            <w:tcW w:type="dxa" w:w="887"/>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00"/>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53"/>
            <w:tcBorders>
              <w:left w:color="000001" w:space="0" w:sz="2" w:val="single"/>
              <w:bottom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c>
          <w:tcPr>
            <w:tcW w:type="dxa" w:w="866"/>
            <w:tcBorders>
              <w:left w:color="000001" w:space="0" w:sz="2" w:val="single"/>
              <w:bottom w:color="000001" w:space="0" w:sz="2" w:val="single"/>
              <w:right w:color="000001" w:space="0" w:sz="2" w:val="single"/>
            </w:tcBorders>
            <w:shd w:fill="FFFFFF" w:val="clear"/>
            <w:tcMar>
              <w:top w:type="dxa" w:w="55"/>
              <w:left w:type="dxa" w:w="55"/>
              <w:bottom w:type="dxa" w:w="55"/>
              <w:right w:type="dxa" w:w="55"/>
            </w:tcMar>
          </w:tcPr>
          <w:p>
            <w:pPr>
              <w:pStyle w:val="style168"/>
              <w:jc w:val="center"/>
            </w:pPr>
            <w:r>
              <w:rPr>
                <w:sz w:val="20"/>
                <w:szCs w:val="20"/>
              </w:rPr>
              <w:t>Go</w:t>
            </w:r>
          </w:p>
        </w:tc>
      </w:tr>
    </w:tbl>
    <w:p>
      <w:pPr>
        <w:pStyle w:val="style0"/>
        <w:tabs>
          <w:tab w:leader="none" w:pos="720" w:val="left"/>
        </w:tabs>
        <w:jc w:val="center"/>
      </w:pPr>
      <w:r>
        <w:rPr/>
      </w:r>
    </w:p>
    <w:p>
      <w:pPr>
        <w:pStyle w:val="style0"/>
        <w:tabs>
          <w:tab w:leader="none" w:pos="720" w:val="left"/>
        </w:tabs>
      </w:pPr>
      <w:r>
        <w:rPr/>
      </w:r>
    </w:p>
    <w:p>
      <w:pPr>
        <w:pStyle w:val="style0"/>
        <w:tabs>
          <w:tab w:leader="none" w:pos="360" w:val="left"/>
          <w:tab w:leader="none" w:pos="5220" w:val="left"/>
          <w:tab w:leader="none" w:pos="7470" w:val="left"/>
        </w:tabs>
        <w:suppressAutoHyphens w:val="false"/>
        <w:spacing w:after="200" w:before="0" w:line="276" w:lineRule="auto"/>
      </w:pPr>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p>
    <w:p>
      <w:pPr>
        <w:pStyle w:val="style0"/>
        <w:tabs>
          <w:tab w:leader="none" w:pos="0" w:val="left"/>
        </w:tabs>
        <w:suppressAutoHyphens w:val="false"/>
        <w:spacing w:line="276" w:lineRule="auto"/>
      </w:pPr>
      <w:r>
        <w:rPr>
          <w:color w:val="FF3366"/>
        </w:rPr>
        <w:t>Arguments against checking these gaps—Welding fabrication of the bellows to the Actuator plate will likely result in the two surfaces not being parallel(gaps 2 &amp; 3.)  Likewise, the assembly of the Tripod to Actuator Plate will make the parallelism of the Tripod base and the Actuator top plate iffy.  Given the surfaces involved, seeing, much less checking everywhere for the gap makes a single gap check insufficient.  The ROM and Linearity Tests will confirm that these gaps are obstruction free.</w:t>
      </w:r>
    </w:p>
    <w:p>
      <w:pPr>
        <w:pStyle w:val="style0"/>
        <w:tabs>
          <w:tab w:leader="none" w:pos="0" w:val="left"/>
        </w:tabs>
        <w:suppressAutoHyphens w:val="false"/>
        <w:spacing w:line="276" w:lineRule="auto"/>
      </w:pPr>
      <w:r>
        <w:rPr/>
      </w:r>
    </w:p>
    <w:p>
      <w:pPr>
        <w:pStyle w:val="style0"/>
        <w:tabs>
          <w:tab w:leader="none" w:pos="0" w:val="left"/>
        </w:tabs>
        <w:suppressAutoHyphens w:val="false"/>
        <w:spacing w:line="276" w:lineRule="auto"/>
      </w:pPr>
      <w:r>
        <w:rPr/>
      </w:r>
    </w:p>
    <w:p>
      <w:pPr>
        <w:pStyle w:val="style2"/>
        <w:numPr>
          <w:ilvl w:val="1"/>
          <w:numId w:val="1"/>
        </w:numPr>
      </w:pPr>
      <w:bookmarkStart w:id="159" w:name="__RefHeading__208_1185372569"/>
      <w:bookmarkStart w:id="160" w:name="__RefHeading__23762_1262773321"/>
      <w:bookmarkStart w:id="161" w:name="__RefHeading__124_1080062798"/>
      <w:bookmarkStart w:id="162" w:name="__RefHeading__23865_1262773321"/>
      <w:bookmarkStart w:id="163" w:name="__RefHeading__108_503471281"/>
      <w:bookmarkStart w:id="164" w:name="__RefHeading__12398_1262773321"/>
      <w:bookmarkStart w:id="165" w:name="__RefHeading__450_1185372569"/>
      <w:bookmarkStart w:id="166" w:name="__RefHeading__145_968872343"/>
      <w:bookmarkStart w:id="167" w:name="__RefHeading__856_1185372569"/>
      <w:bookmarkStart w:id="168" w:name="__RefHeading__188_870708744"/>
      <w:bookmarkStart w:id="169" w:name="__RefHeading__165_78310084"/>
      <w:bookmarkStart w:id="170" w:name="__RefHeading__23670_1262773321"/>
      <w:bookmarkStart w:id="171" w:name="_Toc244945166"/>
      <w:bookmarkEnd w:id="159"/>
      <w:bookmarkEnd w:id="160"/>
      <w:bookmarkEnd w:id="161"/>
      <w:bookmarkEnd w:id="162"/>
      <w:bookmarkEnd w:id="163"/>
      <w:bookmarkEnd w:id="164"/>
      <w:bookmarkEnd w:id="165"/>
      <w:bookmarkEnd w:id="166"/>
      <w:bookmarkEnd w:id="167"/>
      <w:bookmarkEnd w:id="168"/>
      <w:bookmarkEnd w:id="169"/>
      <w:bookmarkEnd w:id="170"/>
      <w:bookmarkEnd w:id="171"/>
      <w:r>
        <w:rPr/>
        <w:t>Valve Check</w:t>
      </w:r>
    </w:p>
    <w:p>
      <w:pPr>
        <w:pStyle w:val="style0"/>
        <w:tabs>
          <w:tab w:leader="none" w:pos="0" w:val="left"/>
        </w:tabs>
        <w:ind w:firstLine="495" w:left="0" w:right="0"/>
      </w:pPr>
      <w:bookmarkStart w:id="172" w:name="__DdeLink__7811_12627733212"/>
      <w:bookmarkEnd w:id="172"/>
      <w:r>
        <w:rPr>
          <w:b/>
        </w:rPr>
        <w:t xml:space="preserve">Scripts files for processing and plotting in SVN at: </w:t>
      </w:r>
    </w:p>
    <w:p>
      <w:pPr>
        <w:pStyle w:val="style0"/>
        <w:tabs>
          <w:tab w:leader="none" w:pos="0" w:val="left"/>
        </w:tabs>
        <w:ind w:firstLine="495" w:left="0" w:right="0"/>
      </w:pPr>
      <w:bookmarkStart w:id="173" w:name="__DdeLink__7811_126277332121"/>
      <w:bookmarkEnd w:id="173"/>
      <w:r>
        <w:rPr/>
        <w:t>/SeiSVN/seismic/HEPI/M1/HAMX/Scripts/Valve_Check/plot_valve_check.m</w:t>
      </w:r>
    </w:p>
    <w:p>
      <w:pPr>
        <w:pStyle w:val="style0"/>
        <w:tabs>
          <w:tab w:leader="none" w:pos="0" w:val="left"/>
        </w:tabs>
        <w:ind w:firstLine="495" w:left="0" w:right="0"/>
      </w:pPr>
      <w:r>
        <w:rPr/>
      </w:r>
    </w:p>
    <w:p>
      <w:pPr>
        <w:pStyle w:val="style0"/>
        <w:tabs>
          <w:tab w:leader="none" w:pos="0" w:val="left"/>
        </w:tabs>
      </w:pPr>
      <w:r>
        <w:rPr>
          <w:b/>
        </w:rPr>
        <w:t>Data in SVN at:</w:t>
      </w:r>
    </w:p>
    <w:p>
      <w:pPr>
        <w:pStyle w:val="style0"/>
        <w:tabs>
          <w:tab w:leader="none" w:pos="0" w:val="left"/>
        </w:tabs>
        <w:ind w:firstLine="495" w:left="0" w:right="0"/>
      </w:pPr>
      <w:r>
        <w:rPr/>
        <w:t>SeiSVN/seismic/HEPI/M1/HAMX/Data/Spectra/Undamped/</w:t>
      </w:r>
    </w:p>
    <w:p>
      <w:pPr>
        <w:pStyle w:val="style158"/>
        <w:tabs>
          <w:tab w:leader="none" w:pos="0" w:val="left"/>
        </w:tabs>
        <w:ind w:firstLine="495" w:left="0" w:right="0"/>
      </w:pPr>
      <w:r>
        <w:rPr/>
        <w:t>/SeiSVN/seismic/HEPI/M1/HAMX/Scripts/Valve_Check</w:t>
      </w:r>
    </w:p>
    <w:p>
      <w:pPr>
        <w:pStyle w:val="style0"/>
        <w:tabs>
          <w:tab w:leader="none" w:pos="0" w:val="left"/>
        </w:tabs>
        <w:ind w:firstLine="495" w:left="0" w:right="0"/>
      </w:pPr>
      <w:r>
        <w:rPr/>
      </w:r>
    </w:p>
    <w:p>
      <w:pPr>
        <w:pStyle w:val="style0"/>
        <w:tabs>
          <w:tab w:leader="none" w:pos="0" w:val="left"/>
        </w:tabs>
        <w:suppressAutoHyphens w:val="false"/>
      </w:pPr>
      <w:r>
        <w:rPr/>
      </w:r>
    </w:p>
    <w:p>
      <w:pPr>
        <w:pStyle w:val="style0"/>
        <w:tabs>
          <w:tab w:leader="none" w:pos="0" w:val="left"/>
        </w:tabs>
        <w:suppressAutoHyphens w:val="false"/>
      </w:pPr>
      <w:r>
        <w:rPr>
          <w:b/>
        </w:rPr>
        <w:t>Figures in SVN at:</w:t>
      </w:r>
    </w:p>
    <w:p>
      <w:pPr>
        <w:pStyle w:val="style0"/>
        <w:tabs>
          <w:tab w:leader="none" w:pos="0" w:val="left"/>
        </w:tabs>
        <w:suppressAutoHyphens w:val="false"/>
      </w:pPr>
      <w:r>
        <w:rPr/>
        <w:t>/SeiSVN/seismic/HEPI/M1/HAMX/Scripts/Valve_Check</w:t>
      </w:r>
    </w:p>
    <w:p>
      <w:pPr>
        <w:pStyle w:val="style0"/>
        <w:tabs>
          <w:tab w:leader="none" w:pos="0" w:val="left"/>
        </w:tabs>
        <w:suppressAutoHyphens w:val="false"/>
        <w:spacing w:line="276" w:lineRule="auto"/>
      </w:pPr>
      <w:r>
        <w:rPr>
          <w:lang w:eastAsia="en-US"/>
        </w:rPr>
      </w:r>
    </w:p>
    <w:p>
      <w:pPr>
        <w:pStyle w:val="style0"/>
        <w:tabs>
          <w:tab w:leader="none" w:pos="0" w:val="left"/>
        </w:tabs>
        <w:suppressAutoHyphens w:val="false"/>
        <w:spacing w:line="276" w:lineRule="auto"/>
      </w:pPr>
      <w:r>
        <w:rPr>
          <w:lang w:eastAsia="en-US"/>
        </w:rPr>
      </w:r>
    </w:p>
    <w:p>
      <w:pPr>
        <w:pStyle w:val="style0"/>
        <w:tabs>
          <w:tab w:leader="none" w:pos="0" w:val="left"/>
        </w:tabs>
        <w:suppressAutoHyphens w:val="false"/>
        <w:spacing w:line="276" w:lineRule="auto"/>
      </w:pPr>
      <w:r>
        <w:rPr/>
        <w:drawing>
          <wp:anchor allowOverlap="1" behindDoc="0" distB="0" distL="0" distR="0" distT="0" layoutInCell="1" locked="0" relativeHeight="0" simplePos="0">
            <wp:simplePos x="0" y="0"/>
            <wp:positionH relativeFrom="character">
              <wp:posOffset>-173990</wp:posOffset>
            </wp:positionH>
            <wp:positionV relativeFrom="line">
              <wp:posOffset>6350</wp:posOffset>
            </wp:positionV>
            <wp:extent cx="6240145" cy="399542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6240145" cy="3995420"/>
                    </a:xfrm>
                    <a:prstGeom prst="rect">
                      <a:avLst/>
                    </a:prstGeom>
                    <a:noFill/>
                    <a:ln w="9525">
                      <a:noFill/>
                      <a:miter lim="800000"/>
                      <a:headEnd/>
                      <a:tailEnd/>
                    </a:ln>
                  </pic:spPr>
                </pic:pic>
              </a:graphicData>
            </a:graphic>
          </wp:anchor>
        </w:drawing>
      </w:r>
    </w:p>
    <w:p>
      <w:pPr>
        <w:pStyle w:val="style0"/>
      </w:pPr>
      <w:r>
        <w:rPr>
          <w:b/>
        </w:rPr>
        <w:t>Acceptance criteria:</w:t>
      </w:r>
    </w:p>
    <w:p>
      <w:pPr>
        <w:pStyle w:val="style0"/>
        <w:numPr>
          <w:ilvl w:val="0"/>
          <w:numId w:val="2"/>
        </w:numPr>
        <w:tabs>
          <w:tab w:leader="none" w:pos="720" w:val="left"/>
        </w:tabs>
        <w:suppressAutoHyphens w:val="false"/>
        <w:spacing w:after="200" w:before="0" w:line="276" w:lineRule="auto"/>
      </w:pPr>
      <w:r>
        <w:rPr/>
      </w:r>
    </w:p>
    <w:p>
      <w:pPr>
        <w:pStyle w:val="style154"/>
        <w:spacing w:after="28" w:before="28"/>
        <w:jc w:val="both"/>
      </w:pPr>
      <w:r>
        <w:rPr/>
      </w:r>
    </w:p>
    <w:p>
      <w:pPr>
        <w:pStyle w:val="style0"/>
        <w:tabs>
          <w:tab w:leader="none" w:pos="360" w:val="left"/>
          <w:tab w:leader="none" w:pos="5220" w:val="left"/>
          <w:tab w:leader="none" w:pos="7470" w:val="left"/>
        </w:tabs>
        <w:suppressAutoHyphens w:val="false"/>
        <w:spacing w:after="200" w:before="0" w:line="276" w:lineRule="auto"/>
        <w:jc w:val="both"/>
      </w:pPr>
      <w:r>
        <w:rPr>
          <w:b/>
        </w:rPr>
        <w:t>Test result:</w:t>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p>
    <w:p>
      <w:pPr>
        <w:pStyle w:val="style0"/>
        <w:tabs>
          <w:tab w:leader="none" w:pos="0" w:val="left"/>
        </w:tabs>
        <w:suppressAutoHyphens w:val="false"/>
        <w:spacing w:line="276" w:lineRule="auto"/>
      </w:pPr>
      <w:r>
        <w:rPr>
          <w:color w:val="FF3366"/>
        </w:rPr>
        <w:t xml:space="preserve">This function script never worked at LHO and I (HughR) only tried it a couple times.  Depends on who you talk to, the check is okay or not worth doing.  The Static Test Local Drive is sufficient. </w:t>
      </w:r>
    </w:p>
    <w:p>
      <w:pPr>
        <w:pStyle w:val="style0"/>
        <w:tabs>
          <w:tab w:leader="none" w:pos="0" w:val="left"/>
        </w:tabs>
        <w:suppressAutoHyphens w:val="false"/>
        <w:spacing w:line="276" w:lineRule="auto"/>
      </w:pPr>
      <w:r>
        <w:rPr/>
      </w:r>
    </w:p>
    <w:p>
      <w:pPr>
        <w:pStyle w:val="style0"/>
        <w:tabs>
          <w:tab w:leader="none" w:pos="0" w:val="left"/>
        </w:tabs>
        <w:suppressAutoHyphens w:val="false"/>
        <w:spacing w:line="276" w:lineRule="auto"/>
      </w:pPr>
      <w:r>
        <w:rPr/>
      </w:r>
    </w:p>
    <w:p>
      <w:pPr>
        <w:pStyle w:val="style0"/>
        <w:tabs>
          <w:tab w:leader="none" w:pos="0" w:val="left"/>
        </w:tabs>
        <w:suppressAutoHyphens w:val="false"/>
        <w:spacing w:line="276" w:lineRule="auto"/>
      </w:pPr>
      <w:r>
        <w:rPr/>
      </w:r>
    </w:p>
    <w:p>
      <w:pPr>
        <w:pStyle w:val="style2"/>
        <w:numPr>
          <w:ilvl w:val="1"/>
          <w:numId w:val="1"/>
        </w:numPr>
      </w:pPr>
      <w:bookmarkStart w:id="174" w:name="__RefHeading__126_1080062798"/>
      <w:bookmarkStart w:id="175" w:name="__RefHeading__858_1185372569"/>
      <w:bookmarkStart w:id="176" w:name="__RefHeading__452_1185372569"/>
      <w:bookmarkStart w:id="177" w:name="__RefHeading__110_503471281"/>
      <w:bookmarkStart w:id="178" w:name="__RefHeading__12400_1262773321"/>
      <w:bookmarkStart w:id="179" w:name="__RefHeading__23867_1262773321"/>
      <w:bookmarkStart w:id="180" w:name="__RefHeading__210_1185372569"/>
      <w:bookmarkStart w:id="181" w:name="__DdeLink__7847_1262773321"/>
      <w:bookmarkStart w:id="182" w:name="__RefHeading__23672_1262773321"/>
      <w:bookmarkStart w:id="183" w:name="__RefHeading__147_968872343"/>
      <w:bookmarkStart w:id="184" w:name="__RefHeading__167_78310084"/>
      <w:bookmarkStart w:id="185" w:name="__RefHeading__23764_1262773321"/>
      <w:bookmarkStart w:id="186" w:name="__RefHeading__190_870708744"/>
      <w:bookmarkStart w:id="187" w:name="_Toc24494516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Pr/>
        <w:t>Local-to-local</w:t>
      </w:r>
      <w:bookmarkStart w:id="188" w:name="Bookmark"/>
      <w:bookmarkEnd w:id="188"/>
      <w:r>
        <w:rPr/>
        <w:t xml:space="preserve"> measurements</w:t>
      </w:r>
    </w:p>
    <w:p>
      <w:pPr>
        <w:pStyle w:val="style0"/>
      </w:pPr>
      <w:r>
        <w:rPr/>
      </w:r>
    </w:p>
    <w:tbl>
      <w:tblPr>
        <w:jc w:val="left"/>
        <w:tblInd w:type="dxa" w:w="-454"/>
        <w:tblBorders>
          <w:top w:color="000001" w:space="0" w:sz="8" w:val="single"/>
          <w:left w:color="000001" w:space="0" w:sz="8" w:val="single"/>
          <w:bottom w:color="000001" w:space="0" w:sz="8" w:val="single"/>
        </w:tblBorders>
      </w:tblPr>
      <w:tblGrid>
        <w:gridCol w:w="1374"/>
        <w:gridCol w:w="1635"/>
        <w:gridCol w:w="1520"/>
        <w:gridCol w:w="1378"/>
        <w:gridCol w:w="1378"/>
        <w:gridCol w:w="1378"/>
        <w:gridCol w:w="1647"/>
      </w:tblGrid>
      <w:tr>
        <w:trPr>
          <w:trHeight w:hRule="atLeast" w:val="315"/>
          <w:cantSplit w:val="false"/>
        </w:trPr>
        <w:tc>
          <w:tcPr>
            <w:tcW w:type="dxa" w:w="1374"/>
            <w:tcBorders>
              <w:top w:color="000001" w:space="0" w:sz="8" w:val="single"/>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Band (Hz)</w:t>
            </w:r>
          </w:p>
        </w:tc>
        <w:tc>
          <w:tcPr>
            <w:tcW w:type="dxa" w:w="1635"/>
            <w:tcBorders>
              <w:top w:color="000001" w:space="0" w:sz="8" w:val="single"/>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Resolution</w:t>
            </w:r>
          </w:p>
        </w:tc>
        <w:tc>
          <w:tcPr>
            <w:tcW w:type="dxa" w:w="1520"/>
            <w:tcBorders>
              <w:top w:color="000001" w:space="0" w:sz="8" w:val="single"/>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Amplitude</w:t>
            </w:r>
          </w:p>
        </w:tc>
        <w:tc>
          <w:tcPr>
            <w:tcW w:type="dxa" w:w="1378"/>
            <w:tcBorders>
              <w:top w:color="000001" w:space="0" w:sz="8" w:val="single"/>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Nreps</w:t>
            </w:r>
          </w:p>
        </w:tc>
        <w:tc>
          <w:tcPr>
            <w:tcW w:type="dxa" w:w="1378"/>
            <w:tcBorders>
              <w:top w:color="000001" w:space="0" w:sz="8" w:val="single"/>
              <w:lef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Time (s)</w:t>
            </w:r>
          </w:p>
        </w:tc>
        <w:tc>
          <w:tcPr>
            <w:tcW w:type="dxa" w:w="1378"/>
            <w:tcBorders>
              <w:top w:color="000001" w:space="0" w:sz="8" w:val="single"/>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Time (min)</w:t>
            </w:r>
          </w:p>
        </w:tc>
        <w:tc>
          <w:tcPr>
            <w:tcW w:type="dxa" w:w="1647"/>
            <w:tcBorders>
              <w:top w:color="000001" w:space="0" w:sz="8" w:val="single"/>
              <w:left w:color="000001" w:space="0" w:sz="8" w:val="single"/>
              <w:bottom w:color="000001" w:space="0" w:sz="8"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Time (h)</w:t>
            </w:r>
          </w:p>
        </w:tc>
      </w:tr>
      <w:tr>
        <w:trPr>
          <w:trHeight w:hRule="atLeast" w:val="300"/>
          <w:cantSplit w:val="false"/>
        </w:trPr>
        <w:tc>
          <w:tcPr>
            <w:tcW w:type="dxa" w:w="1374"/>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100 - 500</w:t>
            </w:r>
          </w:p>
        </w:tc>
        <w:tc>
          <w:tcPr>
            <w:tcW w:type="dxa" w:w="1635"/>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0.5</w:t>
            </w:r>
          </w:p>
        </w:tc>
        <w:tc>
          <w:tcPr>
            <w:tcW w:type="dxa" w:w="1520"/>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250</w:t>
            </w:r>
          </w:p>
        </w:tc>
        <w:tc>
          <w:tcPr>
            <w:tcW w:type="dxa" w:w="1378"/>
            <w:tcBorders>
              <w:top w:color="000001" w:space="0" w:sz="8" w:val="single"/>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4176</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69.6</w:t>
            </w:r>
          </w:p>
        </w:tc>
        <w:tc>
          <w:tcPr>
            <w:tcW w:type="dxa" w:w="1647"/>
            <w:tcBorders>
              <w:left w:color="000001" w:space="0" w:sz="8" w:val="single"/>
              <w:bottom w:color="000001" w:space="0" w:sz="4"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1.2</w:t>
            </w:r>
          </w:p>
        </w:tc>
      </w:tr>
      <w:tr>
        <w:trPr>
          <w:trHeight w:hRule="atLeast" w:val="300"/>
          <w:cantSplit w:val="false"/>
        </w:trPr>
        <w:tc>
          <w:tcPr>
            <w:tcW w:type="dxa" w:w="1374"/>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10 - 100</w:t>
            </w:r>
          </w:p>
        </w:tc>
        <w:tc>
          <w:tcPr>
            <w:tcW w:type="dxa" w:w="1635"/>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0.25</w:t>
            </w:r>
          </w:p>
        </w:tc>
        <w:tc>
          <w:tcPr>
            <w:tcW w:type="dxa" w:w="1520"/>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6592</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109.9</w:t>
            </w:r>
          </w:p>
        </w:tc>
        <w:tc>
          <w:tcPr>
            <w:tcW w:type="dxa" w:w="1647"/>
            <w:tcBorders>
              <w:left w:color="000001" w:space="0" w:sz="8" w:val="single"/>
              <w:bottom w:color="000001" w:space="0" w:sz="4"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1.8</w:t>
            </w:r>
          </w:p>
        </w:tc>
      </w:tr>
      <w:tr>
        <w:trPr>
          <w:trHeight w:hRule="atLeast" w:val="300"/>
          <w:cantSplit w:val="false"/>
        </w:trPr>
        <w:tc>
          <w:tcPr>
            <w:tcW w:type="dxa" w:w="1374"/>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0.7 - 10</w:t>
            </w:r>
          </w:p>
        </w:tc>
        <w:tc>
          <w:tcPr>
            <w:tcW w:type="dxa" w:w="1635"/>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0.05</w:t>
            </w:r>
          </w:p>
        </w:tc>
        <w:tc>
          <w:tcPr>
            <w:tcW w:type="dxa" w:w="1520"/>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75</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12320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205.3</w:t>
            </w:r>
          </w:p>
        </w:tc>
        <w:tc>
          <w:tcPr>
            <w:tcW w:type="dxa" w:w="1647"/>
            <w:tcBorders>
              <w:left w:color="000001" w:space="0" w:sz="8" w:val="single"/>
              <w:bottom w:color="000001" w:space="0" w:sz="4"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3.4</w:t>
            </w:r>
          </w:p>
        </w:tc>
      </w:tr>
      <w:tr>
        <w:trPr>
          <w:trHeight w:hRule="atLeast" w:val="300"/>
          <w:cantSplit w:val="false"/>
        </w:trPr>
        <w:tc>
          <w:tcPr>
            <w:tcW w:type="dxa" w:w="1374"/>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0.1 - 0.7</w:t>
            </w:r>
          </w:p>
        </w:tc>
        <w:tc>
          <w:tcPr>
            <w:tcW w:type="dxa" w:w="1635"/>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0.025</w:t>
            </w:r>
          </w:p>
        </w:tc>
        <w:tc>
          <w:tcPr>
            <w:tcW w:type="dxa" w:w="1520"/>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30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10080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168.0</w:t>
            </w:r>
          </w:p>
        </w:tc>
        <w:tc>
          <w:tcPr>
            <w:tcW w:type="dxa" w:w="1647"/>
            <w:tcBorders>
              <w:left w:color="000001" w:space="0" w:sz="8" w:val="single"/>
              <w:bottom w:color="000001" w:space="0" w:sz="4"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2.8</w:t>
            </w:r>
          </w:p>
        </w:tc>
      </w:tr>
      <w:tr>
        <w:trPr>
          <w:trHeight w:hRule="atLeast" w:val="300"/>
          <w:cantSplit w:val="false"/>
        </w:trPr>
        <w:tc>
          <w:tcPr>
            <w:tcW w:type="dxa" w:w="1374"/>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0.01 - 0.1</w:t>
            </w:r>
          </w:p>
        </w:tc>
        <w:tc>
          <w:tcPr>
            <w:tcW w:type="dxa" w:w="1635"/>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0.01</w:t>
            </w:r>
          </w:p>
        </w:tc>
        <w:tc>
          <w:tcPr>
            <w:tcW w:type="dxa" w:w="1520"/>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8960</w:t>
            </w:r>
          </w:p>
        </w:tc>
        <w:tc>
          <w:tcPr>
            <w:tcW w:type="dxa" w:w="1378"/>
            <w:tcBorders>
              <w:left w:color="000001" w:space="0" w:sz="8" w:val="single"/>
              <w:bottom w:color="000001" w:space="0" w:sz="4"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149.3</w:t>
            </w:r>
          </w:p>
        </w:tc>
        <w:tc>
          <w:tcPr>
            <w:tcW w:type="dxa" w:w="1647"/>
            <w:tcBorders>
              <w:left w:color="000001" w:space="0" w:sz="8" w:val="single"/>
              <w:bottom w:color="000001" w:space="0" w:sz="4"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2.5</w:t>
            </w:r>
          </w:p>
        </w:tc>
      </w:tr>
      <w:tr>
        <w:trPr>
          <w:trHeight w:hRule="atLeast" w:val="315"/>
          <w:cantSplit w:val="false"/>
        </w:trPr>
        <w:tc>
          <w:tcPr>
            <w:tcW w:type="dxa" w:w="1374"/>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0.002 - 0.01</w:t>
            </w:r>
          </w:p>
        </w:tc>
        <w:tc>
          <w:tcPr>
            <w:tcW w:type="dxa" w:w="1635"/>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0.002</w:t>
            </w:r>
          </w:p>
        </w:tc>
        <w:tc>
          <w:tcPr>
            <w:tcW w:type="dxa" w:w="1520"/>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4000 - 4000</w:t>
            </w:r>
          </w:p>
        </w:tc>
        <w:tc>
          <w:tcPr>
            <w:tcW w:type="dxa" w:w="1378"/>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w:t>
            </w:r>
          </w:p>
        </w:tc>
        <w:tc>
          <w:tcPr>
            <w:tcW w:type="dxa" w:w="1378"/>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12160</w:t>
            </w:r>
          </w:p>
        </w:tc>
        <w:tc>
          <w:tcPr>
            <w:tcW w:type="dxa" w:w="1378"/>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202.7</w:t>
            </w:r>
          </w:p>
        </w:tc>
        <w:tc>
          <w:tcPr>
            <w:tcW w:type="dxa" w:w="1647"/>
            <w:tcBorders>
              <w:left w:color="000001" w:space="0" w:sz="8" w:val="single"/>
              <w:bottom w:color="000001" w:space="0" w:sz="8"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color w:val="000000"/>
              </w:rPr>
              <w:t>3.4</w:t>
            </w:r>
          </w:p>
        </w:tc>
      </w:tr>
      <w:tr>
        <w:trPr>
          <w:trHeight w:hRule="atLeast" w:val="315"/>
          <w:cantSplit w:val="false"/>
        </w:trPr>
        <w:tc>
          <w:tcPr>
            <w:tcW w:type="dxa" w:w="1374"/>
            <w:tcBorders>
              <w:left w:color="000001" w:space="0" w:sz="8" w:val="single"/>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635"/>
            <w:tcBorders>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520"/>
            <w:tcBorders>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378"/>
            <w:tcBorders>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378"/>
            <w:tcBorders>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378"/>
            <w:tcBorders>
              <w:bottom w:color="000001" w:space="0" w:sz="8" w:val="single"/>
            </w:tcBorders>
            <w:shd w:fill="FFFFFF" w:val="clear"/>
            <w:tcMar>
              <w:top w:type="dxa" w:w="0"/>
              <w:left w:type="dxa" w:w="108"/>
              <w:bottom w:type="dxa" w:w="0"/>
              <w:right w:type="dxa" w:w="108"/>
            </w:tcMar>
            <w:vAlign w:val="bottom"/>
          </w:tcPr>
          <w:p>
            <w:pPr>
              <w:pStyle w:val="style0"/>
              <w:jc w:val="center"/>
            </w:pPr>
            <w:r>
              <w:rPr/>
            </w:r>
          </w:p>
        </w:tc>
        <w:tc>
          <w:tcPr>
            <w:tcW w:type="dxa" w:w="1647"/>
            <w:tcBorders>
              <w:left w:color="000001" w:space="0" w:sz="8" w:val="single"/>
              <w:bottom w:color="000001" w:space="0" w:sz="8" w:val="single"/>
              <w:right w:color="000001" w:space="0" w:sz="8" w:val="single"/>
            </w:tcBorders>
            <w:shd w:fill="FFFFFF" w:val="clear"/>
            <w:tcMar>
              <w:top w:type="dxa" w:w="0"/>
              <w:left w:type="dxa" w:w="108"/>
              <w:bottom w:type="dxa" w:w="0"/>
              <w:right w:type="dxa" w:w="108"/>
            </w:tcMar>
            <w:vAlign w:val="bottom"/>
          </w:tcPr>
          <w:p>
            <w:pPr>
              <w:pStyle w:val="style0"/>
              <w:jc w:val="center"/>
            </w:pPr>
            <w:r>
              <w:rPr>
                <w:rFonts w:ascii="Calibri" w:cs="Calibri" w:hAnsi="Calibri"/>
                <w:b/>
                <w:bCs/>
                <w:color w:val="000000"/>
              </w:rPr>
              <w:t>15.1</w:t>
            </w:r>
          </w:p>
        </w:tc>
      </w:tr>
    </w:tbl>
    <w:p>
      <w:pPr>
        <w:pStyle w:val="style0"/>
      </w:pPr>
      <w:r>
        <w:rPr/>
      </w:r>
    </w:p>
    <w:p>
      <w:pPr>
        <w:pStyle w:val="style0"/>
      </w:pPr>
      <w:r>
        <w:rPr>
          <w:b/>
        </w:rPr>
        <w:t xml:space="preserve">Data files in SVN at: </w:t>
      </w:r>
    </w:p>
    <w:p>
      <w:pPr>
        <w:pStyle w:val="style0"/>
      </w:pPr>
      <w:r>
        <w:rPr/>
        <w:t>/SeiSVN/seismic/HEPI/M1/HAMX/Data/Transfer_Functions/Measurements/Undamped/</w:t>
      </w:r>
    </w:p>
    <w:p>
      <w:pPr>
        <w:pStyle w:val="style158"/>
        <w:numPr>
          <w:ilvl w:val="0"/>
          <w:numId w:val="4"/>
        </w:numPr>
        <w:tabs>
          <w:tab w:leader="none" w:pos="1440" w:val="left"/>
        </w:tabs>
      </w:pPr>
      <w:r>
        <w:rPr/>
        <w:t>M1_HPI_HAMX_Data_TF_L2L_200Hz_1000Hz_20120201-174407.mat</w:t>
      </w:r>
    </w:p>
    <w:p>
      <w:pPr>
        <w:pStyle w:val="style158"/>
        <w:numPr>
          <w:ilvl w:val="0"/>
          <w:numId w:val="4"/>
        </w:numPr>
        <w:tabs>
          <w:tab w:leader="none" w:pos="1440" w:val="left"/>
        </w:tabs>
      </w:pPr>
      <w:r>
        <w:rPr/>
        <w:t>M1_HPI_HAMX_Data_TF_L2L_5Hz_200Hz_20120201-183140.mat</w:t>
      </w:r>
    </w:p>
    <w:p>
      <w:pPr>
        <w:pStyle w:val="style158"/>
        <w:numPr>
          <w:ilvl w:val="0"/>
          <w:numId w:val="4"/>
        </w:numPr>
        <w:tabs>
          <w:tab w:leader="none" w:pos="1440" w:val="left"/>
        </w:tabs>
      </w:pPr>
      <w:r>
        <w:rPr/>
        <w:t>M1_HPI_HAMX_Data_TF_L2L_500mHz_5Hz_20120201-191513.mat</w:t>
      </w:r>
    </w:p>
    <w:p>
      <w:pPr>
        <w:pStyle w:val="style158"/>
        <w:numPr>
          <w:ilvl w:val="0"/>
          <w:numId w:val="4"/>
        </w:numPr>
        <w:tabs>
          <w:tab w:leader="none" w:pos="1440" w:val="left"/>
        </w:tabs>
      </w:pPr>
      <w:r>
        <w:rPr/>
        <w:t>M1_HPI_HAMX_Data_TF_L2L_100mHz_500mHz_20120201-202848.mat</w:t>
      </w:r>
    </w:p>
    <w:p>
      <w:pPr>
        <w:pStyle w:val="style158"/>
        <w:numPr>
          <w:ilvl w:val="0"/>
          <w:numId w:val="4"/>
        </w:numPr>
        <w:tabs>
          <w:tab w:leader="none" w:pos="1440" w:val="left"/>
        </w:tabs>
      </w:pPr>
      <w:r>
        <w:rPr/>
        <w:t>M1_HPI_HAMX_Data_TF_L2L_10mHz_100mHz_20120201-212025.mat</w:t>
      </w:r>
    </w:p>
    <w:p>
      <w:pPr>
        <w:pStyle w:val="style0"/>
        <w:spacing w:after="0" w:before="120"/>
      </w:pPr>
      <w:r>
        <w:rPr>
          <w:b/>
        </w:rPr>
        <w:t>Data collection script files:</w:t>
      </w:r>
    </w:p>
    <w:p>
      <w:pPr>
        <w:pStyle w:val="style0"/>
      </w:pPr>
      <w:r>
        <w:rPr/>
        <w:t>/SeiSVN/seismic/HEPI/Common//Transfer_Function_Scripts/</w:t>
      </w:r>
    </w:p>
    <w:p>
      <w:pPr>
        <w:pStyle w:val="style0"/>
        <w:numPr>
          <w:ilvl w:val="0"/>
          <w:numId w:val="2"/>
        </w:numPr>
        <w:tabs>
          <w:tab w:leader="none" w:pos="720" w:val="left"/>
        </w:tabs>
      </w:pPr>
      <w:r>
        <w:rPr/>
        <w:t>Run_TF_L2L_10mHz_100mHz.m</w:t>
      </w:r>
    </w:p>
    <w:p>
      <w:pPr>
        <w:pStyle w:val="style0"/>
        <w:numPr>
          <w:ilvl w:val="0"/>
          <w:numId w:val="2"/>
        </w:numPr>
        <w:tabs>
          <w:tab w:leader="none" w:pos="720" w:val="left"/>
        </w:tabs>
      </w:pPr>
      <w:r>
        <w:rPr/>
        <w:t>Run_TF_L2L_100mHz_500mHz.m</w:t>
      </w:r>
    </w:p>
    <w:p>
      <w:pPr>
        <w:pStyle w:val="style0"/>
        <w:numPr>
          <w:ilvl w:val="0"/>
          <w:numId w:val="2"/>
        </w:numPr>
        <w:tabs>
          <w:tab w:leader="none" w:pos="720" w:val="left"/>
        </w:tabs>
      </w:pPr>
      <w:r>
        <w:rPr/>
        <w:t>Run_TF_L2L_500mHz_5Hz.m</w:t>
      </w:r>
    </w:p>
    <w:p>
      <w:pPr>
        <w:pStyle w:val="style0"/>
        <w:numPr>
          <w:ilvl w:val="0"/>
          <w:numId w:val="2"/>
        </w:numPr>
        <w:tabs>
          <w:tab w:leader="none" w:pos="720" w:val="left"/>
        </w:tabs>
      </w:pPr>
      <w:r>
        <w:rPr/>
        <w:t>Run_TF_L2L_5Hz_100Hz.m</w:t>
      </w:r>
    </w:p>
    <w:p>
      <w:pPr>
        <w:pStyle w:val="style0"/>
        <w:numPr>
          <w:ilvl w:val="0"/>
          <w:numId w:val="2"/>
        </w:numPr>
        <w:tabs>
          <w:tab w:leader="none" w:pos="720" w:val="left"/>
        </w:tabs>
      </w:pPr>
      <w:r>
        <w:rPr/>
        <w:t>Run_TF_L2L_100Hz_1000Hz.m</w:t>
      </w:r>
    </w:p>
    <w:p>
      <w:pPr>
        <w:pStyle w:val="style0"/>
        <w:spacing w:after="0" w:before="120"/>
      </w:pPr>
      <w:r>
        <w:rPr>
          <w:b/>
        </w:rPr>
        <w:t xml:space="preserve">Scripts files for processing and plotting in SVN at: </w:t>
      </w:r>
    </w:p>
    <w:p>
      <w:pPr>
        <w:pStyle w:val="style0"/>
      </w:pPr>
      <w:r>
        <w:rPr/>
        <w:t>/SeiSVN/seismic/HEPI/M1/HAMX/Scripts/Control_Scripts/release/</w:t>
      </w:r>
    </w:p>
    <w:p>
      <w:pPr>
        <w:pStyle w:val="style0"/>
        <w:numPr>
          <w:ilvl w:val="0"/>
          <w:numId w:val="3"/>
        </w:numPr>
        <w:tabs>
          <w:tab w:leader="none" w:pos="720" w:val="left"/>
        </w:tabs>
      </w:pPr>
      <w:r>
        <w:rPr>
          <w:color w:val="00000A"/>
        </w:rPr>
        <w:t>Step_1_</w:t>
      </w:r>
      <w:r>
        <w:rPr>
          <w:color w:val="00000A"/>
          <w:sz w:val="23"/>
          <w:szCs w:val="23"/>
        </w:rPr>
        <w:t>TF_Loc_to_Loc_M1_HEPI_HAMX.m</w:t>
      </w:r>
    </w:p>
    <w:p>
      <w:pPr>
        <w:pStyle w:val="style0"/>
        <w:spacing w:after="0" w:before="120"/>
      </w:pPr>
      <w:r>
        <w:rPr>
          <w:b/>
        </w:rPr>
        <w:t xml:space="preserve"> </w:t>
      </w:r>
      <w:r>
        <w:rPr>
          <w:b/>
        </w:rPr>
        <w:t>Figures in SVN at:</w:t>
      </w:r>
    </w:p>
    <w:p>
      <w:pPr>
        <w:pStyle w:val="style0"/>
      </w:pPr>
      <w:r>
        <w:rPr/>
        <w:t>/SeiSVN/seismic/HEPI/M1/HAMX/Data/ Figures/Transfer_Functions/Measurements/Undamped/</w:t>
      </w:r>
    </w:p>
    <w:p>
      <w:pPr>
        <w:pStyle w:val="style0"/>
        <w:numPr>
          <w:ilvl w:val="0"/>
          <w:numId w:val="2"/>
        </w:numPr>
        <w:tabs>
          <w:tab w:leader="none" w:pos="720" w:val="left"/>
        </w:tabs>
      </w:pPr>
      <w:r>
        <w:rPr/>
        <w:t>M1_HPI_Unit_1_TF_L2L_Raw_from_ACT_to_CPS_2012_02_02_With_3_Washers_Under_Top_Mass.fig</w:t>
      </w:r>
    </w:p>
    <w:p>
      <w:pPr>
        <w:pStyle w:val="style0"/>
        <w:numPr>
          <w:ilvl w:val="0"/>
          <w:numId w:val="2"/>
        </w:numPr>
        <w:tabs>
          <w:tab w:leader="none" w:pos="720" w:val="left"/>
        </w:tabs>
      </w:pPr>
      <w:r>
        <w:rPr/>
        <w:t>M1_HPI_Unit_1_TF_L2L_Raw_from_ACT_to_GS13_2012_02_02_With_3_Washers_Under_Top_Mass.fig</w:t>
      </w:r>
    </w:p>
    <w:p>
      <w:pPr>
        <w:pStyle w:val="style0"/>
        <w:spacing w:after="0" w:before="120"/>
      </w:pPr>
      <w:r>
        <w:rPr>
          <w:b/>
        </w:rPr>
        <w:t>Storage of measured transfer functions in the SVN at:</w:t>
      </w:r>
    </w:p>
    <w:p>
      <w:pPr>
        <w:pStyle w:val="style0"/>
      </w:pPr>
      <w:r>
        <w:rPr/>
        <w:t>/SeiSVN/seismic/HEPI/M1/HAMX/Data/Transfer_functions/ Simulations/Undamped/</w:t>
      </w:r>
    </w:p>
    <w:p>
      <w:pPr>
        <w:pStyle w:val="style158"/>
        <w:numPr>
          <w:ilvl w:val="0"/>
          <w:numId w:val="5"/>
        </w:numPr>
        <w:tabs>
          <w:tab w:leader="none" w:pos="1440" w:val="left"/>
        </w:tabs>
      </w:pPr>
      <w:bookmarkStart w:id="189" w:name="__DdeLink__7858_1262773321"/>
      <w:bookmarkEnd w:id="189"/>
      <w:r>
        <w:rPr/>
        <w:t>M1_HPI_Unit_1_TF_L2L_Raw_2012_02_02_With_3_Washers_Under_Top_Mass.mat</w:t>
      </w:r>
    </w:p>
    <w:p>
      <w:pPr>
        <w:pStyle w:val="style158"/>
      </w:pPr>
      <w:r>
        <w:rPr/>
      </w:r>
    </w:p>
    <w:p>
      <w:pPr>
        <w:pStyle w:val="style0"/>
      </w:pPr>
      <w:r>
        <w:rPr/>
        <w:t xml:space="preserve">The local-to-local transfer functions are presented below. </w:t>
      </w:r>
    </w:p>
    <w:p>
      <w:pPr>
        <w:pStyle w:val="style0"/>
      </w:pPr>
      <w:r>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240145" cy="380174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6240145" cy="3801745"/>
                    </a:xfrm>
                    <a:prstGeom prst="rect">
                      <a:avLst/>
                    </a:prstGeom>
                    <a:noFill/>
                    <a:ln w="9525">
                      <a:noFill/>
                      <a:miter lim="800000"/>
                      <a:headEnd/>
                      <a:tailEnd/>
                    </a:ln>
                  </pic:spPr>
                </pic:pic>
              </a:graphicData>
            </a:graphic>
          </wp:anchor>
        </w:drawing>
      </w:r>
    </w:p>
    <w:p>
      <w:pPr>
        <w:pStyle w:val="style0"/>
      </w:pPr>
      <w:r>
        <w:rPr>
          <w:lang w:eastAsia="en-US"/>
        </w:rPr>
        <w:drawing>
          <wp:anchor allowOverlap="1" behindDoc="0" distB="0" distL="0" distR="0" distT="0" layoutInCell="1" locked="0" relativeHeight="0" simplePos="0">
            <wp:simplePos x="0" y="0"/>
            <wp:positionH relativeFrom="character">
              <wp:posOffset>770890</wp:posOffset>
            </wp:positionH>
            <wp:positionV relativeFrom="line">
              <wp:posOffset>3780790</wp:posOffset>
            </wp:positionV>
            <wp:extent cx="6238875" cy="1460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6238875" cy="14605"/>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240145" cy="379539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9"/>
                    <a:srcRect/>
                    <a:stretch>
                      <a:fillRect/>
                    </a:stretch>
                  </pic:blipFill>
                  <pic:spPr bwMode="auto">
                    <a:xfrm>
                      <a:off x="0" y="0"/>
                      <a:ext cx="6240145" cy="3795395"/>
                    </a:xfrm>
                    <a:prstGeom prst="rect">
                      <a:avLst/>
                    </a:prstGeom>
                    <a:noFill/>
                    <a:ln w="9525">
                      <a:noFill/>
                      <a:miter lim="800000"/>
                      <a:headEnd/>
                      <a:tailEnd/>
                    </a:ln>
                  </pic:spPr>
                </pic:pic>
              </a:graphicData>
            </a:graphic>
          </wp:anchor>
        </w:drawing>
      </w:r>
    </w:p>
    <w:p>
      <w:pPr>
        <w:pStyle w:val="style0"/>
        <w:jc w:val="both"/>
      </w:pPr>
      <w:r>
        <w:rPr>
          <w:u w:val="single"/>
        </w:rPr>
        <w:t>Issues/difficulties/comments regarding this test:</w:t>
      </w:r>
    </w:p>
    <w:p>
      <w:pPr>
        <w:pStyle w:val="style0"/>
      </w:pPr>
      <w:r>
        <w:rPr/>
      </w:r>
    </w:p>
    <w:p>
      <w:pPr>
        <w:pStyle w:val="style0"/>
      </w:pPr>
      <w:r>
        <w:rPr/>
      </w:r>
    </w:p>
    <w:p>
      <w:pPr>
        <w:pStyle w:val="style0"/>
      </w:pPr>
      <w:r>
        <w:rPr>
          <w:b/>
        </w:rPr>
        <w:t>Acceptance criteria:</w:t>
      </w:r>
    </w:p>
    <w:p>
      <w:pPr>
        <w:pStyle w:val="style0"/>
        <w:numPr>
          <w:ilvl w:val="0"/>
          <w:numId w:val="2"/>
        </w:numPr>
        <w:tabs>
          <w:tab w:leader="none" w:pos="720" w:val="left"/>
        </w:tabs>
      </w:pPr>
      <w:r>
        <w:rPr/>
        <w:t xml:space="preserve">On IPS, the phase must be </w:t>
      </w:r>
      <w:bookmarkStart w:id="190" w:name="__DdeLink__7856_1262773321"/>
      <w:bookmarkEnd w:id="190"/>
      <w:r>
        <w:rPr/>
        <w:t>0º at DC</w:t>
      </w:r>
    </w:p>
    <w:p>
      <w:pPr>
        <w:pStyle w:val="style0"/>
        <w:numPr>
          <w:ilvl w:val="0"/>
          <w:numId w:val="2"/>
        </w:numPr>
        <w:tabs>
          <w:tab w:leader="none" w:pos="720" w:val="left"/>
        </w:tabs>
      </w:pPr>
      <w:r>
        <w:rPr/>
        <w:t>On geophones, the phase must be 90º at DC</w:t>
      </w:r>
    </w:p>
    <w:p>
      <w:pPr>
        <w:pStyle w:val="style0"/>
        <w:numPr>
          <w:ilvl w:val="0"/>
          <w:numId w:val="2"/>
        </w:numPr>
        <w:tabs>
          <w:tab w:leader="none" w:pos="720" w:val="left"/>
        </w:tabs>
      </w:pPr>
      <w:r>
        <w:rPr/>
        <w:t>Identical shape in each corner</w:t>
      </w:r>
    </w:p>
    <w:p>
      <w:pPr>
        <w:pStyle w:val="style0"/>
      </w:pPr>
      <w:r>
        <w:rPr/>
      </w:r>
    </w:p>
    <w:p>
      <w:pPr>
        <w:pStyle w:val="style0"/>
        <w:tabs>
          <w:tab w:leader="none" w:pos="360" w:val="left"/>
          <w:tab w:leader="none" w:pos="5220" w:val="left"/>
          <w:tab w:leader="none" w:pos="7470" w:val="left"/>
        </w:tabs>
      </w:pPr>
      <w:r>
        <w:rPr>
          <w:b/>
        </w:rPr>
        <w:t>Test result:</w:t>
        <w:tab/>
        <w:t xml:space="preserve">Passed: </w:t>
      </w:r>
      <w:r>
        <w:rPr>
          <w:b/>
          <w:u w:val="single"/>
        </w:rPr>
        <w:t xml:space="preserve">   X   </w:t>
      </w:r>
      <w:r>
        <w:rPr>
          <w:b/>
        </w:rPr>
        <w:tab/>
        <w:t xml:space="preserve">Failed: </w:t>
      </w:r>
      <w:r>
        <w:rPr>
          <w:b/>
          <w:u w:val="single"/>
        </w:rPr>
        <w:t xml:space="preserve">       </w:t>
      </w:r>
      <w:r>
        <w:rPr>
          <w:b/>
        </w:rPr>
        <w:t xml:space="preserve">  </w:t>
      </w:r>
      <w:r>
        <w:rPr>
          <w:b/>
          <w:color w:val="FFFFFF"/>
        </w:rPr>
        <w:t>.</w:t>
      </w:r>
    </w:p>
    <w:p>
      <w:pPr>
        <w:pStyle w:val="style0"/>
        <w:tabs>
          <w:tab w:leader="none" w:pos="360" w:val="left"/>
          <w:tab w:leader="none" w:pos="5220" w:val="left"/>
          <w:tab w:leader="none" w:pos="7470" w:val="left"/>
        </w:tabs>
      </w:pPr>
      <w:r>
        <w:rPr/>
      </w:r>
    </w:p>
    <w:p>
      <w:pPr>
        <w:pStyle w:val="style0"/>
        <w:tabs>
          <w:tab w:leader="none" w:pos="360" w:val="left"/>
          <w:tab w:leader="none" w:pos="5220" w:val="left"/>
          <w:tab w:leader="none" w:pos="7470" w:val="left"/>
        </w:tabs>
      </w:pPr>
      <w:r>
        <w:rPr/>
      </w:r>
    </w:p>
    <w:p>
      <w:pPr>
        <w:pStyle w:val="style2"/>
        <w:numPr>
          <w:ilvl w:val="1"/>
          <w:numId w:val="1"/>
        </w:numPr>
      </w:pPr>
      <w:bookmarkStart w:id="191" w:name="__RefHeading__2858_1935933781"/>
      <w:bookmarkStart w:id="192" w:name="_Toc244858929"/>
      <w:bookmarkStart w:id="193" w:name="_Toc244945168"/>
      <w:bookmarkEnd w:id="191"/>
      <w:bookmarkEnd w:id="192"/>
      <w:bookmarkEnd w:id="193"/>
      <w:r>
        <w:rPr/>
        <w:t>Alignment offsets:</w:t>
      </w:r>
    </w:p>
    <w:p>
      <w:pPr>
        <w:pStyle w:val="style0"/>
      </w:pPr>
      <w:r>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Pr>
          <w:i/>
        </w:rPr>
        <w:t>preferred alignment</w:t>
      </w:r>
      <w:r>
        <w:rPr/>
        <w:t xml:space="preserve"> state.</w:t>
      </w:r>
    </w:p>
    <w:p>
      <w:pPr>
        <w:pStyle w:val="style0"/>
      </w:pPr>
      <w:r>
        <w:rPr/>
      </w:r>
    </w:p>
    <w:tbl>
      <w:tblPr>
        <w:jc w:val="left"/>
        <w:tblInd w:type="dxa" w:w="-15"/>
        <w:tblBorders/>
      </w:tblPr>
      <w:tblGrid>
        <w:gridCol w:w="1299"/>
        <w:gridCol w:w="1260"/>
        <w:gridCol w:w="1311"/>
      </w:tblGrid>
      <w:tr>
        <w:trPr>
          <w:trHeight w:hRule="atLeast" w:val="1200"/>
          <w:cantSplit w:val="false"/>
        </w:trPr>
        <w:tc>
          <w:tcPr>
            <w:tcW w:type="dxa" w:w="1299"/>
            <w:tcBorders/>
            <w:shd w:fill="FFFFFF" w:val="clear"/>
            <w:tcMar>
              <w:top w:type="dxa" w:w="0"/>
              <w:left w:type="dxa" w:w="108"/>
              <w:bottom w:type="dxa" w:w="0"/>
              <w:right w:type="dxa" w:w="108"/>
            </w:tcMar>
            <w:vAlign w:val="bottom"/>
          </w:tcPr>
          <w:p>
            <w:pPr>
              <w:pStyle w:val="style0"/>
              <w:widowControl/>
              <w:suppressAutoHyphens w:val="false"/>
            </w:pPr>
            <w:r>
              <w:rPr>
                <w:rFonts w:ascii="Calibri" w:hAnsi="Calibri"/>
                <w:color w:val="000000"/>
                <w:lang w:eastAsia="en-US"/>
              </w:rPr>
            </w:r>
          </w:p>
        </w:tc>
        <w:tc>
          <w:tcPr>
            <w:tcW w:type="dxa" w:w="1260"/>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IPS Readouts HEPI Locked</w:t>
            </w:r>
          </w:p>
        </w:tc>
        <w:tc>
          <w:tcPr>
            <w:tcW w:type="dxa" w:w="1311"/>
            <w:tcBorders>
              <w:top w:color="00000A" w:space="0" w:sz="4" w:val="single"/>
              <w:bottom w:color="00000A" w:space="0" w:sz="4" w:val="single"/>
              <w:right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Offset Value</w:t>
            </w:r>
          </w:p>
        </w:tc>
      </w:tr>
      <w:tr>
        <w:trPr>
          <w:trHeight w:hRule="atLeast" w:val="300"/>
          <w:cantSplit w:val="false"/>
        </w:trPr>
        <w:tc>
          <w:tcPr>
            <w:tcW w:type="dxa" w:w="1299"/>
            <w:tcBorders>
              <w:top w:color="00000A" w:space="0" w:sz="4" w:val="single"/>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H1</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1331.1</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-1331.1</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H2</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957.72</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-957.72</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H3</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2157.4</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-2157.4</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H4</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-1303.6</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1303.6</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V1</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-2742.7</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2742.7</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V2</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-511.83</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511.83</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V3</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1034</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-1034</w:t>
            </w:r>
          </w:p>
        </w:tc>
      </w:tr>
      <w:tr>
        <w:trPr>
          <w:trHeight w:hRule="atLeast" w:val="300"/>
          <w:cantSplit w:val="false"/>
        </w:trPr>
        <w:tc>
          <w:tcPr>
            <w:tcW w:type="dxa" w:w="1299"/>
            <w:tcBorders>
              <w:left w:color="00000A" w:space="0" w:sz="4" w:val="single"/>
              <w:bottom w:color="00000A" w:space="0" w:sz="4" w:val="single"/>
            </w:tcBorders>
            <w:shd w:fill="FFFFFF" w:val="clear"/>
            <w:tcMar>
              <w:top w:type="dxa" w:w="0"/>
              <w:left w:type="dxa" w:w="108"/>
              <w:bottom w:type="dxa" w:w="0"/>
              <w:right w:type="dxa" w:w="108"/>
            </w:tcMar>
            <w:vAlign w:val="center"/>
          </w:tcPr>
          <w:p>
            <w:pPr>
              <w:pStyle w:val="style0"/>
              <w:widowControl/>
              <w:suppressAutoHyphens w:val="false"/>
              <w:jc w:val="center"/>
            </w:pPr>
            <w:r>
              <w:rPr>
                <w:rFonts w:ascii="Calibri" w:hAnsi="Calibri"/>
                <w:color w:val="000000"/>
                <w:lang w:eastAsia="en-US"/>
              </w:rPr>
              <w:t>V4</w:t>
            </w:r>
          </w:p>
        </w:tc>
        <w:tc>
          <w:tcPr>
            <w:tcW w:type="dxa" w:w="1260"/>
            <w:tcBorders>
              <w:left w:color="00000A" w:space="0" w:sz="4" w:val="single"/>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-2882.9</w:t>
            </w:r>
          </w:p>
        </w:tc>
        <w:tc>
          <w:tcPr>
            <w:tcW w:type="dxa" w:w="1311"/>
            <w:tcBorders>
              <w:bottom w:color="00000A" w:space="0" w:sz="4" w:val="single"/>
              <w:right w:color="00000A" w:space="0" w:sz="4" w:val="single"/>
            </w:tcBorders>
            <w:shd w:fill="FFFFFF" w:val="clear"/>
            <w:tcMar>
              <w:top w:type="dxa" w:w="0"/>
              <w:left w:type="dxa" w:w="108"/>
              <w:bottom w:type="dxa" w:w="0"/>
              <w:right w:type="dxa" w:w="108"/>
            </w:tcMar>
            <w:vAlign w:val="bottom"/>
          </w:tcPr>
          <w:p>
            <w:pPr>
              <w:pStyle w:val="style0"/>
              <w:widowControl/>
              <w:suppressAutoHyphens w:val="false"/>
              <w:jc w:val="right"/>
            </w:pPr>
            <w:r>
              <w:rPr>
                <w:rFonts w:ascii="Calibri" w:hAnsi="Calibri"/>
                <w:color w:val="000000"/>
                <w:lang w:eastAsia="en-US"/>
              </w:rPr>
              <w:t>2882.9</w:t>
            </w:r>
          </w:p>
        </w:tc>
      </w:tr>
    </w:tbl>
    <w:p>
      <w:pPr>
        <w:pStyle w:val="style0"/>
      </w:pPr>
      <w:r>
        <w:rPr>
          <w:b/>
        </w:rPr>
      </w:r>
    </w:p>
    <w:p>
      <w:pPr>
        <w:pStyle w:val="style0"/>
      </w:pPr>
      <w:r>
        <w:rPr>
          <w:b/>
        </w:rPr>
        <w:t>Acceptance criteria:</w:t>
      </w:r>
    </w:p>
    <w:p>
      <w:pPr>
        <w:pStyle w:val="style0"/>
      </w:pPr>
      <w:r>
        <w:rPr/>
        <w:t>Offsets were recorded.</w:t>
      </w:r>
    </w:p>
    <w:p>
      <w:pPr>
        <w:pStyle w:val="style0"/>
      </w:pPr>
      <w:r>
        <w:rPr/>
      </w:r>
    </w:p>
    <w:p>
      <w:pPr>
        <w:pStyle w:val="style0"/>
        <w:tabs>
          <w:tab w:leader="none" w:pos="360" w:val="left"/>
          <w:tab w:leader="none" w:pos="5220" w:val="left"/>
          <w:tab w:leader="none" w:pos="7470" w:val="left"/>
        </w:tabs>
      </w:pPr>
      <w:r>
        <w:rPr>
          <w:b/>
        </w:rPr>
        <w:t>Test result:</w:t>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p>
    <w:p>
      <w:pPr>
        <w:pStyle w:val="style0"/>
        <w:tabs>
          <w:tab w:leader="none" w:pos="360" w:val="left"/>
          <w:tab w:leader="none" w:pos="5220" w:val="left"/>
          <w:tab w:leader="none" w:pos="7470" w:val="left"/>
        </w:tabs>
      </w:pPr>
      <w:r>
        <w:rPr>
          <w:color w:val="FF3366"/>
        </w:rPr>
        <w:t>Comments: The values right after alignment and Actuator attachment will shift as subsequent testing (everything else in this report) will settle and shift the platform at into a more stable and unstressed state.</w:t>
      </w:r>
    </w:p>
    <w:p>
      <w:pPr>
        <w:pStyle w:val="style0"/>
        <w:tabs>
          <w:tab w:leader="none" w:pos="360" w:val="left"/>
          <w:tab w:leader="none" w:pos="5220" w:val="left"/>
          <w:tab w:leader="none" w:pos="7470" w:val="left"/>
        </w:tabs>
      </w:pPr>
      <w:r>
        <w:rPr>
          <w:color w:val="FF3366"/>
        </w:rPr>
        <w:t>The process should be, Align and attach the Actuator, run all the tests, disconnect the Actuator and recenter them.  Confirm the alignment and then reattach the Actuators.</w:t>
      </w:r>
    </w:p>
    <w:sectPr>
      <w:type w:val="continuous"/>
      <w:pgSz w:h="15840" w:w="12240"/>
      <w:pgMar w:bottom="1200" w:footer="720" w:gutter="0" w:header="720" w:left="1200" w:right="1200" w:top="120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Wingdings">
    <w:charset w:val="02"/>
    <w:family w:val="auto"/>
    <w:pitch w:val="default"/>
  </w:font>
  <w:font w:name="Times New Roman">
    <w:charset w:val="80"/>
    <w:family w:val="roman"/>
    <w:pitch w:val="default"/>
  </w:font>
  <w:font w:name="Courier New">
    <w:charset w:val="80"/>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49"/>
      <w:jc w:val="right"/>
    </w:pPr>
    <w:r>
      <w:rPr/>
      <w:fldChar w:fldCharType="begin"/>
    </w:r>
    <w:r>
      <w:instrText> PAGE </w:instrText>
    </w:r>
    <w:r>
      <w:fldChar w:fldCharType="separate"/>
    </w:r>
    <w:r>
      <w:t>25</w:t>
    </w:r>
    <w:r>
      <w:fldChar w:fldCharType="end"/>
    </w:r>
  </w:p>
  <w:p>
    <w:pPr>
      <w:pStyle w:val="style0"/>
    </w:pPr>
    <w:r>
      <w:rPr>
        <w:color w:val="FF336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48"/>
      <w:tabs>
        <w:tab w:leader="none" w:pos="9840" w:val="right"/>
      </w:tabs>
    </w:pPr>
    <w:r>
      <w:rPr/>
    </w:r>
    <w:r>
      <w:rPr>
        <w:b/>
        <w:caps/>
      </w:rPr>
      <w:t xml:space="preserve">                 </w:t>
    </w:r>
    <w:r>
      <w:rPr>
        <w:b/>
        <w:caps/>
      </w:rPr>
      <w:tab/>
      <w:t>E1300824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48"/>
      <w:tabs>
        <w:tab w:leader="none" w:pos="9840" w:val="right"/>
      </w:tabs>
    </w:pPr>
    <w:r>
      <w:rPr/>
    </w:r>
    <w:r>
      <w:rPr>
        <w:b/>
        <w:caps/>
      </w:rPr>
      <w:t xml:space="preserve">                 </w:t>
    </w:r>
    <w:r>
      <w:rPr>
        <w:b/>
        <w:caps/>
      </w:rPr>
      <w:tab/>
      <w:t>E1300824</w:t>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decimal"/>
      <w:lvlText w:val="%2"/>
      <w:lvlJc w:val="left"/>
      <w:pPr>
        <w:ind w:hanging="576" w:left="576"/>
      </w:pPr>
    </w:lvl>
    <w:lvl w:ilvl="2">
      <w:start w:val="1"/>
      <w:numFmt w:val="decimal"/>
      <w:lvlText w:val="%2.%3"/>
      <w:lvlJc w:val="left"/>
      <w:pPr>
        <w:ind w:hanging="720" w:left="720"/>
      </w:pPr>
    </w:lvl>
    <w:lvl w:ilvl="3">
      <w:start w:val="1"/>
      <w:numFmt w:val="decimal"/>
      <w:lvlText w:val="%2.%3.%4"/>
      <w:lvlJc w:val="left"/>
      <w:pPr>
        <w:ind w:hanging="864" w:left="864"/>
      </w:pPr>
    </w:lvl>
    <w:lvl w:ilvl="4">
      <w:start w:val="1"/>
      <w:numFmt w:val="decimal"/>
      <w:lvlText w:val="%2.%3.%4.%5"/>
      <w:lvlJc w:val="left"/>
      <w:pPr>
        <w:ind w:hanging="1008" w:left="1008"/>
      </w:pPr>
    </w:lvl>
    <w:lvl w:ilvl="5">
      <w:start w:val="1"/>
      <w:numFmt w:val="decimal"/>
      <w:lvlText w:val="%2.%3.%4.%5.%6"/>
      <w:lvlJc w:val="left"/>
      <w:pPr>
        <w:ind w:hanging="1152" w:left="1152"/>
      </w:pPr>
    </w:lvl>
    <w:lvl w:ilvl="6">
      <w:start w:val="1"/>
      <w:numFmt w:val="decimal"/>
      <w:lvlText w:val="%2.%3.%4.%5.%6.%7"/>
      <w:lvlJc w:val="left"/>
      <w:pPr>
        <w:ind w:hanging="1296" w:left="1296"/>
      </w:pPr>
    </w:lvl>
    <w:lvl w:ilvl="7">
      <w:start w:val="1"/>
      <w:numFmt w:val="decimal"/>
      <w:lvlText w:val="%2.%3.%4.%5.%6.%7.%8"/>
      <w:lvlJc w:val="left"/>
      <w:pPr>
        <w:ind w:hanging="1440" w:left="1440"/>
      </w:pPr>
    </w:lvl>
    <w:lvl w:ilvl="8">
      <w:start w:val="1"/>
      <w:numFmt w:val="decimal"/>
      <w:lvlText w:val="%2.%3.%4.%5.%6.%7.%8.%9"/>
      <w:lvlJc w:val="left"/>
      <w:pPr>
        <w:ind w:hanging="1584" w:left="1584"/>
      </w:pPr>
    </w:lvl>
  </w:abstractNum>
  <w:abstractNum w:abstractNumId="2">
    <w:lvl w:ilvl="0">
      <w:start w:val="1"/>
      <w:numFmt w:val="bullet"/>
      <w:lvlText w:val=""/>
      <w:lvlJc w:val="left"/>
      <w:pPr>
        <w:ind w:hanging="360" w:left="720"/>
      </w:pPr>
      <w:rPr>
        <w:rFonts w:ascii="Wingdings" w:cs="Wingdings" w:hAnsi="Wingdings"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3">
    <w:lvl w:ilvl="0">
      <w:start w:val="1"/>
      <w:numFmt w:val="bullet"/>
      <w:lvlText w:val="-"/>
      <w:lvlJc w:val="left"/>
      <w:pPr>
        <w:ind w:hanging="360" w:left="720"/>
      </w:pPr>
      <w:rPr>
        <w:rFonts w:ascii="Times New Roman" w:cs="Times New Roman" w:hAnsi="Times New Roman"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bullet"/>
      <w:lvlText w:val="-"/>
      <w:lvlJc w:val="left"/>
      <w:pPr>
        <w:ind w:hanging="360" w:left="720"/>
      </w:pPr>
      <w:rPr>
        <w:rFonts w:ascii="Times New Roman" w:cs="Times New Roman" w:hAnsi="Times New Roman"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5">
    <w:lvl w:ilvl="0">
      <w:start w:val="1"/>
      <w:numFmt w:val="bullet"/>
      <w:lvlText w:val="-"/>
      <w:lvlJc w:val="left"/>
      <w:pPr>
        <w:ind w:hanging="360" w:left="720"/>
      </w:pPr>
      <w:rPr>
        <w:rFonts w:ascii="Times New Roman" w:cs="Times New Roman" w:hAnsi="Times New Roman"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6">
    <w:lvl w:ilvl="0">
      <w:start w:val="1"/>
      <w:numFmt w:val="bullet"/>
      <w:lvlText w:val=""/>
      <w:lvlJc w:val="left"/>
      <w:pPr>
        <w:ind w:hanging="360" w:left="5400"/>
      </w:pPr>
      <w:rPr>
        <w:rFonts w:ascii="Symbol" w:cs="Symbol" w:hAnsi="Symbol" w:hint="default"/>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evenAndOddHeaders/>
</w:settings>
</file>

<file path=word/styles.xml><?xml version="1.0" encoding="utf-8"?>
<w:styles xmlns:w="http://schemas.openxmlformats.org/wordprocessingml/2006/main">
  <w:style w:styleId="style0" w:type="paragraph">
    <w:name w:val="Normal"/>
    <w:next w:val="style0"/>
    <w:pPr>
      <w:widowControl w:val="false"/>
      <w:tabs>
        <w:tab w:leader="none" w:pos="720" w:val="left"/>
      </w:tabs>
      <w:suppressAutoHyphens w:val="true"/>
    </w:pPr>
    <w:rPr>
      <w:rFonts w:ascii="Times New Roman" w:cs="Times New Roman" w:eastAsia="Times New Roman" w:hAnsi="Times New Roman"/>
      <w:color w:val="auto"/>
      <w:sz w:val="24"/>
      <w:szCs w:val="24"/>
      <w:lang w:bidi="ar-SA" w:eastAsia="zh-CN" w:val="en-US"/>
    </w:rPr>
  </w:style>
  <w:style w:styleId="style1" w:type="paragraph">
    <w:name w:val="Heading 1"/>
    <w:basedOn w:val="style0"/>
    <w:next w:val="style143"/>
    <w:pPr>
      <w:keepNext/>
      <w:spacing w:after="60" w:before="0"/>
    </w:pPr>
    <w:rPr>
      <w:rFonts w:cs="Arial"/>
      <w:b/>
      <w:bCs/>
      <w:sz w:val="32"/>
      <w:szCs w:val="32"/>
    </w:rPr>
  </w:style>
  <w:style w:styleId="style2" w:type="paragraph">
    <w:name w:val="Heading 2"/>
    <w:basedOn w:val="style0"/>
    <w:next w:val="style143"/>
    <w:pPr>
      <w:keepNext/>
      <w:numPr>
        <w:ilvl w:val="1"/>
        <w:numId w:val="1"/>
      </w:numPr>
      <w:spacing w:after="60" w:before="0"/>
      <w:outlineLvl w:val="1"/>
    </w:pPr>
    <w:rPr>
      <w:rFonts w:cs="Arial"/>
      <w:b/>
      <w:bCs/>
      <w:i/>
      <w:iCs/>
      <w:sz w:val="28"/>
      <w:szCs w:val="28"/>
    </w:rPr>
  </w:style>
  <w:style w:styleId="style3" w:type="paragraph">
    <w:name w:val="Heading 3"/>
    <w:basedOn w:val="style0"/>
    <w:next w:val="style143"/>
    <w:pPr>
      <w:keepNext/>
      <w:numPr>
        <w:ilvl w:val="2"/>
        <w:numId w:val="1"/>
      </w:numPr>
      <w:spacing w:after="60" w:before="240"/>
      <w:outlineLvl w:val="2"/>
    </w:pPr>
    <w:rPr>
      <w:rFonts w:cs="Arial"/>
      <w:b/>
      <w:bCs/>
      <w:sz w:val="26"/>
      <w:szCs w:val="26"/>
    </w:rPr>
  </w:style>
  <w:style w:styleId="style4" w:type="paragraph">
    <w:name w:val="Heading 4"/>
    <w:basedOn w:val="style0"/>
    <w:next w:val="style143"/>
    <w:pPr>
      <w:keepNext/>
      <w:numPr>
        <w:ilvl w:val="3"/>
        <w:numId w:val="1"/>
      </w:numPr>
      <w:spacing w:after="60" w:before="240"/>
      <w:jc w:val="both"/>
      <w:outlineLvl w:val="3"/>
    </w:pPr>
    <w:rPr>
      <w:rFonts w:ascii="Calibri" w:cs="Calibri" w:hAnsi="Calibri"/>
      <w:b/>
    </w:rPr>
  </w:style>
  <w:style w:styleId="style5" w:type="paragraph">
    <w:name w:val="Heading 5"/>
    <w:basedOn w:val="style0"/>
    <w:next w:val="style143"/>
    <w:pPr>
      <w:numPr>
        <w:ilvl w:val="4"/>
        <w:numId w:val="1"/>
      </w:numPr>
      <w:spacing w:after="60" w:before="240"/>
      <w:outlineLvl w:val="4"/>
    </w:pPr>
    <w:rPr>
      <w:b/>
      <w:bCs/>
      <w:i/>
      <w:iCs/>
      <w:sz w:val="26"/>
      <w:szCs w:val="26"/>
    </w:rPr>
  </w:style>
  <w:style w:styleId="style6" w:type="paragraph">
    <w:name w:val="Heading 6"/>
    <w:basedOn w:val="style0"/>
    <w:next w:val="style143"/>
    <w:pPr>
      <w:numPr>
        <w:ilvl w:val="5"/>
        <w:numId w:val="1"/>
      </w:numPr>
      <w:spacing w:after="60" w:before="240"/>
      <w:outlineLvl w:val="5"/>
    </w:pPr>
    <w:rPr>
      <w:rFonts w:ascii="Calibri" w:cs="Calibri" w:hAnsi="Calibri"/>
      <w:b/>
      <w:bCs/>
      <w:sz w:val="22"/>
      <w:szCs w:val="22"/>
    </w:rPr>
  </w:style>
  <w:style w:styleId="style7" w:type="paragraph">
    <w:name w:val="Heading 7"/>
    <w:basedOn w:val="style0"/>
    <w:next w:val="style143"/>
    <w:pPr>
      <w:numPr>
        <w:ilvl w:val="6"/>
        <w:numId w:val="1"/>
      </w:numPr>
      <w:spacing w:after="60" w:before="240"/>
      <w:outlineLvl w:val="6"/>
    </w:pPr>
    <w:rPr>
      <w:rFonts w:ascii="Calibri" w:cs="Calibri" w:hAnsi="Calibri"/>
    </w:rPr>
  </w:style>
  <w:style w:styleId="style8" w:type="paragraph">
    <w:name w:val="Heading 8"/>
    <w:basedOn w:val="style0"/>
    <w:next w:val="style143"/>
    <w:pPr>
      <w:numPr>
        <w:ilvl w:val="7"/>
        <w:numId w:val="1"/>
      </w:numPr>
      <w:spacing w:after="60" w:before="240"/>
      <w:outlineLvl w:val="7"/>
    </w:pPr>
    <w:rPr>
      <w:rFonts w:ascii="Calibri" w:cs="Calibri" w:hAnsi="Calibri"/>
      <w:i/>
      <w:iCs/>
    </w:rPr>
  </w:style>
  <w:style w:styleId="style9" w:type="paragraph">
    <w:name w:val="Heading 9"/>
    <w:basedOn w:val="style0"/>
    <w:next w:val="style143"/>
    <w:pPr>
      <w:numPr>
        <w:ilvl w:val="8"/>
        <w:numId w:val="1"/>
      </w:numPr>
      <w:spacing w:after="60" w:before="240"/>
      <w:outlineLvl w:val="8"/>
    </w:pPr>
    <w:rPr>
      <w:rFonts w:ascii="Cambria" w:cs="Cambria" w:hAnsi="Cambria"/>
      <w:sz w:val="22"/>
      <w:szCs w:val="22"/>
    </w:rPr>
  </w:style>
  <w:style w:styleId="style15" w:type="character">
    <w:name w:val="Default Paragraph Font"/>
    <w:next w:val="style15"/>
    <w:rPr/>
  </w:style>
  <w:style w:styleId="style16" w:type="character">
    <w:name w:val="WW8Num2z0"/>
    <w:next w:val="style16"/>
    <w:rPr>
      <w:rFonts w:ascii="Times New Roman" w:cs="Times New Roman" w:eastAsia="Times New Roman" w:hAnsi="Times New Roman"/>
    </w:rPr>
  </w:style>
  <w:style w:styleId="style17" w:type="character">
    <w:name w:val="WW8Num3z0"/>
    <w:next w:val="style17"/>
    <w:rPr>
      <w:rFonts w:ascii="Times New Roman" w:cs="Times New Roman" w:eastAsia="Times New Roman" w:hAnsi="Times New Roman"/>
    </w:rPr>
  </w:style>
  <w:style w:styleId="style18" w:type="character">
    <w:name w:val="WW8Num4z0"/>
    <w:next w:val="style18"/>
    <w:rPr>
      <w:rFonts w:ascii="Times New Roman" w:cs="Times New Roman" w:eastAsia="Times New Roman" w:hAnsi="Times New Roman"/>
      <w:b w:val="false"/>
    </w:rPr>
  </w:style>
  <w:style w:styleId="style19" w:type="character">
    <w:name w:val="WW8Num5z0"/>
    <w:next w:val="style19"/>
    <w:rPr>
      <w:rFonts w:ascii="Times New Roman" w:cs="Times New Roman" w:eastAsia="Times New Roman" w:hAnsi="Times New Roman"/>
    </w:rPr>
  </w:style>
  <w:style w:styleId="style20" w:type="character">
    <w:name w:val="WW8Num6z0"/>
    <w:next w:val="style20"/>
    <w:rPr>
      <w:rFonts w:ascii="Times New Roman" w:cs="Times New Roman" w:hAnsi="Times New Roman"/>
    </w:rPr>
  </w:style>
  <w:style w:styleId="style21" w:type="character">
    <w:name w:val="WW8Num6z1"/>
    <w:next w:val="style21"/>
    <w:rPr>
      <w:rFonts w:ascii="Courier New" w:cs="Courier New" w:hAnsi="Courier New"/>
    </w:rPr>
  </w:style>
  <w:style w:styleId="style22" w:type="character">
    <w:name w:val="WW8Num6z2"/>
    <w:next w:val="style22"/>
    <w:rPr>
      <w:rFonts w:ascii="Wingdings" w:cs="Wingdings" w:hAnsi="Wingdings"/>
    </w:rPr>
  </w:style>
  <w:style w:styleId="style23" w:type="character">
    <w:name w:val="WW8Num6z3"/>
    <w:next w:val="style23"/>
    <w:rPr>
      <w:rFonts w:ascii="Symbol" w:cs="Symbol" w:hAnsi="Symbol"/>
    </w:rPr>
  </w:style>
  <w:style w:styleId="style24" w:type="character">
    <w:name w:val="WW8Num7z0"/>
    <w:next w:val="style24"/>
    <w:rPr>
      <w:b/>
    </w:rPr>
  </w:style>
  <w:style w:styleId="style25" w:type="character">
    <w:name w:val="Absatz-Standardschriftart"/>
    <w:next w:val="style25"/>
    <w:rPr/>
  </w:style>
  <w:style w:styleId="style26" w:type="character">
    <w:name w:val="WW-Absatz-Standardschriftart"/>
    <w:next w:val="style26"/>
    <w:rPr/>
  </w:style>
  <w:style w:styleId="style27" w:type="character">
    <w:name w:val="WW-Absatz-Standardschriftart1"/>
    <w:next w:val="style27"/>
    <w:rPr/>
  </w:style>
  <w:style w:styleId="style28" w:type="character">
    <w:name w:val="WW-Default Paragraph Font"/>
    <w:next w:val="style28"/>
    <w:rPr/>
  </w:style>
  <w:style w:styleId="style29" w:type="character">
    <w:name w:val="WW-Absatz-Standardschriftart11"/>
    <w:next w:val="style29"/>
    <w:rPr/>
  </w:style>
  <w:style w:styleId="style30" w:type="character">
    <w:name w:val="WW-Absatz-Standardschriftart111"/>
    <w:next w:val="style30"/>
    <w:rPr/>
  </w:style>
  <w:style w:styleId="style31" w:type="character">
    <w:name w:val="WW-Absatz-Standardschriftart1111"/>
    <w:next w:val="style31"/>
    <w:rPr/>
  </w:style>
  <w:style w:styleId="style32" w:type="character">
    <w:name w:val="WW-Absatz-Standardschriftart11111"/>
    <w:next w:val="style32"/>
    <w:rPr/>
  </w:style>
  <w:style w:styleId="style33" w:type="character">
    <w:name w:val="WW-Absatz-Standardschriftart111111"/>
    <w:next w:val="style33"/>
    <w:rPr/>
  </w:style>
  <w:style w:styleId="style34" w:type="character">
    <w:name w:val="WW-Absatz-Standardschriftart1111111"/>
    <w:next w:val="style34"/>
    <w:rPr/>
  </w:style>
  <w:style w:styleId="style35" w:type="character">
    <w:name w:val="WW-Absatz-Standardschriftart11111111"/>
    <w:next w:val="style35"/>
    <w:rPr/>
  </w:style>
  <w:style w:styleId="style36" w:type="character">
    <w:name w:val="WW8Num7z1"/>
    <w:next w:val="style36"/>
    <w:rPr>
      <w:rFonts w:ascii="Courier New" w:cs="Courier New" w:hAnsi="Courier New"/>
    </w:rPr>
  </w:style>
  <w:style w:styleId="style37" w:type="character">
    <w:name w:val="WW8Num7z2"/>
    <w:next w:val="style37"/>
    <w:rPr>
      <w:rFonts w:ascii="Wingdings" w:cs="Wingdings" w:hAnsi="Wingdings"/>
    </w:rPr>
  </w:style>
  <w:style w:styleId="style38" w:type="character">
    <w:name w:val="WW8Num7z3"/>
    <w:next w:val="style38"/>
    <w:rPr>
      <w:rFonts w:ascii="Symbol" w:cs="Symbol" w:hAnsi="Symbol"/>
    </w:rPr>
  </w:style>
  <w:style w:styleId="style39" w:type="character">
    <w:name w:val="WW8Num8z0"/>
    <w:next w:val="style39"/>
    <w:rPr>
      <w:rFonts w:ascii="Wingdings" w:cs="Wingdings" w:hAnsi="Wingdings"/>
    </w:rPr>
  </w:style>
  <w:style w:styleId="style40" w:type="character">
    <w:name w:val="WW8Num9z0"/>
    <w:next w:val="style40"/>
    <w:rPr>
      <w:rFonts w:ascii="Times New Roman" w:cs="Times New Roman" w:eastAsia="Times New Roman" w:hAnsi="Times New Roman"/>
    </w:rPr>
  </w:style>
  <w:style w:styleId="style41" w:type="character">
    <w:name w:val="WW8Num10z0"/>
    <w:next w:val="style41"/>
    <w:rPr>
      <w:rFonts w:ascii="Times New Roman" w:cs="Times New Roman" w:eastAsia="Times New Roman" w:hAnsi="Times New Roman"/>
    </w:rPr>
  </w:style>
  <w:style w:styleId="style42" w:type="character">
    <w:name w:val="WW8Num10z1"/>
    <w:next w:val="style42"/>
    <w:rPr>
      <w:rFonts w:ascii="Courier New" w:cs="Courier New" w:hAnsi="Courier New"/>
    </w:rPr>
  </w:style>
  <w:style w:styleId="style43" w:type="character">
    <w:name w:val="WW8Num10z2"/>
    <w:next w:val="style43"/>
    <w:rPr>
      <w:rFonts w:ascii="Wingdings" w:cs="Wingdings" w:hAnsi="Wingdings"/>
    </w:rPr>
  </w:style>
  <w:style w:styleId="style44" w:type="character">
    <w:name w:val="WW8Num10z3"/>
    <w:next w:val="style44"/>
    <w:rPr>
      <w:rFonts w:ascii="Symbol" w:cs="Symbol" w:hAnsi="Symbol"/>
    </w:rPr>
  </w:style>
  <w:style w:styleId="style45" w:type="character">
    <w:name w:val="WW8Num11z0"/>
    <w:next w:val="style45"/>
    <w:rPr>
      <w:b/>
      <w:u w:val="none"/>
    </w:rPr>
  </w:style>
  <w:style w:styleId="style46" w:type="character">
    <w:name w:val="WW8Num11z1"/>
    <w:next w:val="style46"/>
    <w:rPr>
      <w:rFonts w:ascii="Courier New" w:cs="Courier New" w:hAnsi="Courier New"/>
    </w:rPr>
  </w:style>
  <w:style w:styleId="style47" w:type="character">
    <w:name w:val="WW8Num11z2"/>
    <w:next w:val="style47"/>
    <w:rPr>
      <w:rFonts w:ascii="Wingdings" w:cs="Wingdings" w:hAnsi="Wingdings"/>
    </w:rPr>
  </w:style>
  <w:style w:styleId="style48" w:type="character">
    <w:name w:val="WW8Num12z0"/>
    <w:next w:val="style48"/>
    <w:rPr>
      <w:rFonts w:ascii="Times New Roman" w:cs="Times New Roman" w:eastAsia="Times New Roman" w:hAnsi="Times New Roman"/>
    </w:rPr>
  </w:style>
  <w:style w:styleId="style49" w:type="character">
    <w:name w:val="WW8Num12z1"/>
    <w:next w:val="style49"/>
    <w:rPr>
      <w:rFonts w:ascii="Courier New" w:cs="Courier New" w:hAnsi="Courier New"/>
    </w:rPr>
  </w:style>
  <w:style w:styleId="style50" w:type="character">
    <w:name w:val="WW8Num12z2"/>
    <w:next w:val="style50"/>
    <w:rPr>
      <w:rFonts w:ascii="Wingdings" w:cs="Wingdings" w:hAnsi="Wingdings"/>
    </w:rPr>
  </w:style>
  <w:style w:styleId="style51" w:type="character">
    <w:name w:val="WW8Num12z3"/>
    <w:next w:val="style51"/>
    <w:rPr>
      <w:rFonts w:ascii="Symbol" w:cs="Symbol" w:hAnsi="Symbol"/>
    </w:rPr>
  </w:style>
  <w:style w:styleId="style52" w:type="character">
    <w:name w:val="WW8Num13z0"/>
    <w:next w:val="style52"/>
    <w:rPr>
      <w:rFonts w:ascii="Times New Roman" w:cs="Times New Roman" w:eastAsia="Times New Roman" w:hAnsi="Times New Roman"/>
    </w:rPr>
  </w:style>
  <w:style w:styleId="style53" w:type="character">
    <w:name w:val="WW8Num13z1"/>
    <w:next w:val="style53"/>
    <w:rPr>
      <w:rFonts w:ascii="Courier New" w:cs="Symbol" w:hAnsi="Courier New"/>
    </w:rPr>
  </w:style>
  <w:style w:styleId="style54" w:type="character">
    <w:name w:val="WW8Num13z2"/>
    <w:next w:val="style54"/>
    <w:rPr>
      <w:rFonts w:ascii="Wingdings" w:cs="Wingdings" w:hAnsi="Wingdings"/>
    </w:rPr>
  </w:style>
  <w:style w:styleId="style55" w:type="character">
    <w:name w:val="WW8Num13z3"/>
    <w:next w:val="style55"/>
    <w:rPr>
      <w:rFonts w:ascii="Symbol" w:cs="Symbol" w:hAnsi="Symbol"/>
    </w:rPr>
  </w:style>
  <w:style w:styleId="style56" w:type="character">
    <w:name w:val="WW8Num14z0"/>
    <w:next w:val="style56"/>
    <w:rPr>
      <w:rFonts w:ascii="Times New Roman" w:cs="Times New Roman" w:eastAsia="Times New Roman" w:hAnsi="Times New Roman"/>
    </w:rPr>
  </w:style>
  <w:style w:styleId="style57" w:type="character">
    <w:name w:val="WW8Num14z1"/>
    <w:next w:val="style57"/>
    <w:rPr>
      <w:rFonts w:ascii="Courier New" w:cs="Courier New" w:hAnsi="Courier New"/>
    </w:rPr>
  </w:style>
  <w:style w:styleId="style58" w:type="character">
    <w:name w:val="WW8Num14z2"/>
    <w:next w:val="style58"/>
    <w:rPr>
      <w:rFonts w:ascii="Wingdings" w:cs="Wingdings" w:hAnsi="Wingdings"/>
    </w:rPr>
  </w:style>
  <w:style w:styleId="style59" w:type="character">
    <w:name w:val="WW8Num16z0"/>
    <w:next w:val="style59"/>
    <w:rPr>
      <w:rFonts w:ascii="Times New Roman" w:cs="Times New Roman" w:eastAsia="Times New Roman" w:hAnsi="Times New Roman"/>
    </w:rPr>
  </w:style>
  <w:style w:styleId="style60" w:type="character">
    <w:name w:val="WW8Num16z1"/>
    <w:next w:val="style60"/>
    <w:rPr>
      <w:rFonts w:ascii="Courier New" w:cs="Courier New" w:hAnsi="Courier New"/>
    </w:rPr>
  </w:style>
  <w:style w:styleId="style61" w:type="character">
    <w:name w:val="WW8Num16z2"/>
    <w:next w:val="style61"/>
    <w:rPr>
      <w:rFonts w:ascii="Wingdings" w:cs="Wingdings" w:hAnsi="Wingdings"/>
    </w:rPr>
  </w:style>
  <w:style w:styleId="style62" w:type="character">
    <w:name w:val="WW8Num16z3"/>
    <w:next w:val="style62"/>
    <w:rPr>
      <w:rFonts w:ascii="Symbol" w:cs="Symbol" w:hAnsi="Symbol"/>
    </w:rPr>
  </w:style>
  <w:style w:styleId="style63" w:type="character">
    <w:name w:val="WW8Num17z0"/>
    <w:next w:val="style63"/>
    <w:rPr>
      <w:rFonts w:ascii="Times New Roman" w:cs="Times New Roman" w:hAnsi="Times New Roman"/>
    </w:rPr>
  </w:style>
  <w:style w:styleId="style64" w:type="character">
    <w:name w:val="WW8Num17z1"/>
    <w:next w:val="style64"/>
    <w:rPr>
      <w:rFonts w:ascii="Courier New" w:cs="Courier New" w:hAnsi="Courier New"/>
    </w:rPr>
  </w:style>
  <w:style w:styleId="style65" w:type="character">
    <w:name w:val="WW8Num17z2"/>
    <w:next w:val="style65"/>
    <w:rPr>
      <w:rFonts w:ascii="Wingdings" w:cs="Wingdings" w:hAnsi="Wingdings"/>
    </w:rPr>
  </w:style>
  <w:style w:styleId="style66" w:type="character">
    <w:name w:val="WW8Num17z3"/>
    <w:next w:val="style66"/>
    <w:rPr>
      <w:rFonts w:ascii="Symbol" w:cs="Symbol" w:hAnsi="Symbol"/>
    </w:rPr>
  </w:style>
  <w:style w:styleId="style67" w:type="character">
    <w:name w:val="WW8Num18z0"/>
    <w:next w:val="style67"/>
    <w:rPr>
      <w:b/>
      <w:u w:val="none"/>
    </w:rPr>
  </w:style>
  <w:style w:styleId="style68" w:type="character">
    <w:name w:val="WW8Num19z0"/>
    <w:next w:val="style68"/>
    <w:rPr>
      <w:rFonts w:ascii="Times New Roman" w:cs="Times New Roman" w:eastAsia="Times New Roman" w:hAnsi="Times New Roman"/>
    </w:rPr>
  </w:style>
  <w:style w:styleId="style69" w:type="character">
    <w:name w:val="WW8Num19z1"/>
    <w:next w:val="style69"/>
    <w:rPr>
      <w:rFonts w:ascii="Courier New" w:cs="Courier New" w:hAnsi="Courier New"/>
    </w:rPr>
  </w:style>
  <w:style w:styleId="style70" w:type="character">
    <w:name w:val="WW8Num19z2"/>
    <w:next w:val="style70"/>
    <w:rPr>
      <w:rFonts w:ascii="Wingdings" w:cs="Wingdings" w:hAnsi="Wingdings"/>
    </w:rPr>
  </w:style>
  <w:style w:styleId="style71" w:type="character">
    <w:name w:val="WW8Num19z3"/>
    <w:next w:val="style71"/>
    <w:rPr>
      <w:rFonts w:ascii="Symbol" w:cs="Symbol" w:hAnsi="Symbol"/>
    </w:rPr>
  </w:style>
  <w:style w:styleId="style72" w:type="character">
    <w:name w:val="WW8Num21z0"/>
    <w:next w:val="style72"/>
    <w:rPr>
      <w:rFonts w:ascii="Times New Roman" w:cs="Times New Roman" w:eastAsia="Times New Roman" w:hAnsi="Times New Roman"/>
    </w:rPr>
  </w:style>
  <w:style w:styleId="style73" w:type="character">
    <w:name w:val="WW8Num21z1"/>
    <w:next w:val="style73"/>
    <w:rPr>
      <w:rFonts w:ascii="Courier New" w:cs="Courier New" w:hAnsi="Courier New"/>
    </w:rPr>
  </w:style>
  <w:style w:styleId="style74" w:type="character">
    <w:name w:val="WW8Num21z2"/>
    <w:next w:val="style74"/>
    <w:rPr>
      <w:rFonts w:ascii="Wingdings" w:cs="Wingdings" w:hAnsi="Wingdings"/>
    </w:rPr>
  </w:style>
  <w:style w:styleId="style75" w:type="character">
    <w:name w:val="WW8Num21z3"/>
    <w:next w:val="style75"/>
    <w:rPr>
      <w:rFonts w:ascii="Symbol" w:cs="Symbol" w:hAnsi="Symbol"/>
    </w:rPr>
  </w:style>
  <w:style w:styleId="style76" w:type="character">
    <w:name w:val="WW8Num22z0"/>
    <w:next w:val="style76"/>
    <w:rPr>
      <w:rFonts w:ascii="Symbol" w:cs="Symbol" w:hAnsi="Symbol"/>
    </w:rPr>
  </w:style>
  <w:style w:styleId="style77" w:type="character">
    <w:name w:val="WW8Num22z1"/>
    <w:next w:val="style77"/>
    <w:rPr>
      <w:rFonts w:ascii="Courier New" w:cs="Courier New" w:hAnsi="Courier New"/>
    </w:rPr>
  </w:style>
  <w:style w:styleId="style78" w:type="character">
    <w:name w:val="WW8Num22z2"/>
    <w:next w:val="style78"/>
    <w:rPr>
      <w:rFonts w:ascii="Wingdings" w:cs="Wingdings" w:hAnsi="Wingdings"/>
    </w:rPr>
  </w:style>
  <w:style w:styleId="style79" w:type="character">
    <w:name w:val="WW8Num23z0"/>
    <w:next w:val="style79"/>
    <w:rPr>
      <w:rFonts w:ascii="Times New Roman" w:cs="Times New Roman" w:hAnsi="Times New Roman"/>
    </w:rPr>
  </w:style>
  <w:style w:styleId="style80" w:type="character">
    <w:name w:val="WW8Num23z1"/>
    <w:next w:val="style80"/>
    <w:rPr>
      <w:rFonts w:ascii="Courier New" w:cs="Courier New" w:hAnsi="Courier New"/>
    </w:rPr>
  </w:style>
  <w:style w:styleId="style81" w:type="character">
    <w:name w:val="WW8Num23z2"/>
    <w:next w:val="style81"/>
    <w:rPr>
      <w:rFonts w:ascii="Wingdings" w:cs="Wingdings" w:hAnsi="Wingdings"/>
    </w:rPr>
  </w:style>
  <w:style w:styleId="style82" w:type="character">
    <w:name w:val="WW8Num23z3"/>
    <w:next w:val="style82"/>
    <w:rPr>
      <w:rFonts w:ascii="Symbol" w:cs="Symbol" w:hAnsi="Symbol"/>
    </w:rPr>
  </w:style>
  <w:style w:styleId="style83" w:type="character">
    <w:name w:val="WW8Num24z0"/>
    <w:next w:val="style83"/>
    <w:rPr>
      <w:rFonts w:ascii="Times New Roman" w:cs="Times New Roman" w:hAnsi="Times New Roman"/>
    </w:rPr>
  </w:style>
  <w:style w:styleId="style84" w:type="character">
    <w:name w:val="WW8Num24z1"/>
    <w:next w:val="style84"/>
    <w:rPr>
      <w:rFonts w:ascii="Courier New" w:cs="Courier New" w:hAnsi="Courier New"/>
    </w:rPr>
  </w:style>
  <w:style w:styleId="style85" w:type="character">
    <w:name w:val="WW8Num24z2"/>
    <w:next w:val="style85"/>
    <w:rPr>
      <w:rFonts w:ascii="Wingdings" w:cs="Wingdings" w:hAnsi="Wingdings"/>
    </w:rPr>
  </w:style>
  <w:style w:styleId="style86" w:type="character">
    <w:name w:val="WW8Num24z3"/>
    <w:next w:val="style86"/>
    <w:rPr>
      <w:rFonts w:ascii="Symbol" w:cs="Symbol" w:hAnsi="Symbol"/>
    </w:rPr>
  </w:style>
  <w:style w:styleId="style87" w:type="character">
    <w:name w:val="WW8Num25z0"/>
    <w:next w:val="style87"/>
    <w:rPr>
      <w:rFonts w:ascii="Calibri" w:cs="Calibri" w:eastAsia="Calibri" w:hAnsi="Calibri"/>
    </w:rPr>
  </w:style>
  <w:style w:styleId="style88" w:type="character">
    <w:name w:val="WW8Num25z1"/>
    <w:next w:val="style88"/>
    <w:rPr>
      <w:rFonts w:ascii="Courier New" w:cs="Courier New" w:hAnsi="Courier New"/>
    </w:rPr>
  </w:style>
  <w:style w:styleId="style89" w:type="character">
    <w:name w:val="WW8Num25z2"/>
    <w:next w:val="style89"/>
    <w:rPr>
      <w:rFonts w:ascii="Wingdings" w:cs="Wingdings" w:hAnsi="Wingdings"/>
    </w:rPr>
  </w:style>
  <w:style w:styleId="style90" w:type="character">
    <w:name w:val="WW8Num25z3"/>
    <w:next w:val="style90"/>
    <w:rPr>
      <w:rFonts w:ascii="Symbol" w:cs="Symbol" w:hAnsi="Symbol"/>
    </w:rPr>
  </w:style>
  <w:style w:styleId="style91" w:type="character">
    <w:name w:val="WW-Default Paragraph Font1"/>
    <w:next w:val="style91"/>
    <w:rPr/>
  </w:style>
  <w:style w:styleId="style92" w:type="character">
    <w:name w:val="WW8Num1z0"/>
    <w:next w:val="style92"/>
    <w:rPr>
      <w:rFonts w:ascii="Times New Roman" w:cs="Times New Roman" w:eastAsia="Times New Roman" w:hAnsi="Times New Roman"/>
    </w:rPr>
  </w:style>
  <w:style w:styleId="style93" w:type="character">
    <w:name w:val="WW8Num1z1"/>
    <w:next w:val="style93"/>
    <w:rPr>
      <w:rFonts w:ascii="Courier New" w:cs="Courier New" w:hAnsi="Courier New"/>
    </w:rPr>
  </w:style>
  <w:style w:styleId="style94" w:type="character">
    <w:name w:val="WW8Num1z2"/>
    <w:next w:val="style94"/>
    <w:rPr>
      <w:rFonts w:ascii="Wingdings" w:cs="Wingdings" w:hAnsi="Wingdings"/>
    </w:rPr>
  </w:style>
  <w:style w:styleId="style95" w:type="character">
    <w:name w:val="WW8Num1z3"/>
    <w:next w:val="style95"/>
    <w:rPr>
      <w:rFonts w:ascii="Symbol" w:cs="Symbol" w:hAnsi="Symbol"/>
    </w:rPr>
  </w:style>
  <w:style w:styleId="style96" w:type="character">
    <w:name w:val="WW8Num2z1"/>
    <w:next w:val="style96"/>
    <w:rPr>
      <w:rFonts w:ascii="Courier New" w:cs="Symbol" w:hAnsi="Courier New"/>
    </w:rPr>
  </w:style>
  <w:style w:styleId="style97" w:type="character">
    <w:name w:val="WW8Num2z2"/>
    <w:next w:val="style97"/>
    <w:rPr>
      <w:rFonts w:ascii="Wingdings" w:cs="Wingdings" w:hAnsi="Wingdings"/>
    </w:rPr>
  </w:style>
  <w:style w:styleId="style98" w:type="character">
    <w:name w:val="WW8Num2z3"/>
    <w:next w:val="style98"/>
    <w:rPr>
      <w:rFonts w:ascii="Symbol" w:cs="Symbol" w:hAnsi="Symbol"/>
    </w:rPr>
  </w:style>
  <w:style w:styleId="style99" w:type="character">
    <w:name w:val="WW8Num3z1"/>
    <w:next w:val="style99"/>
    <w:rPr>
      <w:rFonts w:ascii="Courier New" w:cs="Courier New" w:hAnsi="Courier New"/>
    </w:rPr>
  </w:style>
  <w:style w:styleId="style100" w:type="character">
    <w:name w:val="WW8Num3z2"/>
    <w:next w:val="style100"/>
    <w:rPr>
      <w:rFonts w:ascii="Wingdings" w:cs="Wingdings" w:hAnsi="Wingdings"/>
    </w:rPr>
  </w:style>
  <w:style w:styleId="style101" w:type="character">
    <w:name w:val="WW8Num3z3"/>
    <w:next w:val="style101"/>
    <w:rPr>
      <w:rFonts w:ascii="Symbol" w:cs="Symbol" w:hAnsi="Symbol"/>
    </w:rPr>
  </w:style>
  <w:style w:styleId="style102" w:type="character">
    <w:name w:val="WW8Num4z1"/>
    <w:next w:val="style102"/>
    <w:rPr>
      <w:rFonts w:ascii="Courier New" w:cs="Courier New" w:hAnsi="Courier New"/>
    </w:rPr>
  </w:style>
  <w:style w:styleId="style103" w:type="character">
    <w:name w:val="WW8Num4z2"/>
    <w:next w:val="style103"/>
    <w:rPr>
      <w:rFonts w:ascii="Wingdings" w:cs="Wingdings" w:hAnsi="Wingdings"/>
    </w:rPr>
  </w:style>
  <w:style w:styleId="style104" w:type="character">
    <w:name w:val="WW8Num4z3"/>
    <w:next w:val="style104"/>
    <w:rPr>
      <w:rFonts w:ascii="Symbol" w:cs="Symbol" w:hAnsi="Symbol"/>
    </w:rPr>
  </w:style>
  <w:style w:styleId="style105" w:type="character">
    <w:name w:val="WW8Num5z1"/>
    <w:next w:val="style105"/>
    <w:rPr>
      <w:rFonts w:ascii="Courier New" w:cs="Symbol" w:hAnsi="Courier New"/>
    </w:rPr>
  </w:style>
  <w:style w:styleId="style106" w:type="character">
    <w:name w:val="WW8Num5z2"/>
    <w:next w:val="style106"/>
    <w:rPr>
      <w:rFonts w:ascii="Wingdings" w:cs="Wingdings" w:hAnsi="Wingdings"/>
    </w:rPr>
  </w:style>
  <w:style w:styleId="style107" w:type="character">
    <w:name w:val="WW8Num5z3"/>
    <w:next w:val="style107"/>
    <w:rPr>
      <w:rFonts w:ascii="Symbol" w:cs="Symbol" w:hAnsi="Symbol"/>
    </w:rPr>
  </w:style>
  <w:style w:styleId="style108" w:type="character">
    <w:name w:val="WW8Num8z1"/>
    <w:next w:val="style108"/>
    <w:rPr>
      <w:rFonts w:ascii="Courier New" w:cs="Courier New" w:hAnsi="Courier New"/>
    </w:rPr>
  </w:style>
  <w:style w:styleId="style109" w:type="character">
    <w:name w:val="WW8Num8z3"/>
    <w:next w:val="style109"/>
    <w:rPr>
      <w:rFonts w:ascii="Symbol" w:cs="Symbol" w:hAnsi="Symbol"/>
    </w:rPr>
  </w:style>
  <w:style w:styleId="style110" w:type="character">
    <w:name w:val="WW8Num9z1"/>
    <w:next w:val="style110"/>
    <w:rPr>
      <w:rFonts w:ascii="Courier New" w:cs="Symbol" w:hAnsi="Courier New"/>
    </w:rPr>
  </w:style>
  <w:style w:styleId="style111" w:type="character">
    <w:name w:val="WW8Num9z2"/>
    <w:next w:val="style111"/>
    <w:rPr>
      <w:rFonts w:ascii="Wingdings" w:cs="Wingdings" w:hAnsi="Wingdings"/>
    </w:rPr>
  </w:style>
  <w:style w:styleId="style112" w:type="character">
    <w:name w:val="WW8Num9z3"/>
    <w:next w:val="style112"/>
    <w:rPr>
      <w:rFonts w:ascii="Symbol" w:cs="Symbol" w:hAnsi="Symbol"/>
    </w:rPr>
  </w:style>
  <w:style w:styleId="style113" w:type="character">
    <w:name w:val="WW8Num14z3"/>
    <w:next w:val="style113"/>
    <w:rPr>
      <w:rFonts w:ascii="Symbol" w:cs="Symbol" w:hAnsi="Symbol"/>
    </w:rPr>
  </w:style>
  <w:style w:styleId="style114" w:type="character">
    <w:name w:val="WW8Num15z0"/>
    <w:next w:val="style114"/>
    <w:rPr>
      <w:rFonts w:ascii="Wingdings" w:cs="Wingdings" w:hAnsi="Wingdings"/>
    </w:rPr>
  </w:style>
  <w:style w:styleId="style115" w:type="character">
    <w:name w:val="WW8Num15z1"/>
    <w:next w:val="style115"/>
    <w:rPr>
      <w:rFonts w:ascii="Courier New" w:cs="Courier New" w:hAnsi="Courier New"/>
    </w:rPr>
  </w:style>
  <w:style w:styleId="style116" w:type="character">
    <w:name w:val="WW8Num15z3"/>
    <w:next w:val="style116"/>
    <w:rPr>
      <w:rFonts w:ascii="Symbol" w:cs="Symbol" w:hAnsi="Symbol"/>
    </w:rPr>
  </w:style>
  <w:style w:styleId="style117" w:type="character">
    <w:name w:val="Heading 1 Char"/>
    <w:next w:val="style117"/>
    <w:rPr>
      <w:rFonts w:cs="Arial"/>
      <w:b/>
      <w:bCs/>
      <w:sz w:val="32"/>
      <w:szCs w:val="32"/>
    </w:rPr>
  </w:style>
  <w:style w:styleId="style118" w:type="character">
    <w:name w:val="page number"/>
    <w:basedOn w:val="style91"/>
    <w:next w:val="style118"/>
    <w:rPr/>
  </w:style>
  <w:style w:styleId="style119" w:type="character">
    <w:name w:val="Internet Link"/>
    <w:next w:val="style119"/>
    <w:rPr>
      <w:color w:val="0000FF"/>
      <w:u w:val="single"/>
      <w:lang w:bidi="en-US" w:eastAsia="en-US" w:val="en-US"/>
    </w:rPr>
  </w:style>
  <w:style w:styleId="style120" w:type="character">
    <w:name w:val="Heading 2 Char"/>
    <w:next w:val="style120"/>
    <w:rPr>
      <w:rFonts w:cs="Arial"/>
      <w:b/>
      <w:bCs/>
      <w:i/>
      <w:iCs/>
      <w:sz w:val="28"/>
      <w:szCs w:val="28"/>
    </w:rPr>
  </w:style>
  <w:style w:styleId="style121" w:type="character">
    <w:name w:val="Strong Emphasis"/>
    <w:next w:val="style121"/>
    <w:rPr>
      <w:b/>
      <w:bCs/>
    </w:rPr>
  </w:style>
  <w:style w:styleId="style122" w:type="character">
    <w:name w:val="Balloon Text Char"/>
    <w:next w:val="style122"/>
    <w:rPr>
      <w:rFonts w:ascii="Tahoma" w:cs="Tahoma" w:hAnsi="Tahoma"/>
      <w:sz w:val="16"/>
      <w:szCs w:val="16"/>
    </w:rPr>
  </w:style>
  <w:style w:styleId="style123" w:type="character">
    <w:name w:val="Emphasis"/>
    <w:next w:val="style123"/>
    <w:rPr>
      <w:i/>
      <w:iCs/>
    </w:rPr>
  </w:style>
  <w:style w:styleId="style124" w:type="character">
    <w:name w:val="Title Char"/>
    <w:next w:val="style124"/>
    <w:rPr>
      <w:rFonts w:ascii="Cambria" w:cs="Cambria" w:hAnsi="Cambria"/>
      <w:b/>
      <w:bCs/>
      <w:i/>
      <w:sz w:val="32"/>
      <w:szCs w:val="32"/>
    </w:rPr>
  </w:style>
  <w:style w:styleId="style125" w:type="character">
    <w:name w:val="HTML Preformatted Char"/>
    <w:next w:val="style125"/>
    <w:rPr>
      <w:rFonts w:ascii="Courier New" w:cs="Courier New" w:hAnsi="Courier New"/>
    </w:rPr>
  </w:style>
  <w:style w:styleId="style126" w:type="character">
    <w:name w:val="line number"/>
    <w:basedOn w:val="style91"/>
    <w:next w:val="style126"/>
    <w:rPr/>
  </w:style>
  <w:style w:styleId="style127" w:type="character">
    <w:name w:val="Footer Char"/>
    <w:next w:val="style127"/>
    <w:rPr>
      <w:sz w:val="24"/>
      <w:szCs w:val="24"/>
    </w:rPr>
  </w:style>
  <w:style w:styleId="style128" w:type="character">
    <w:name w:val="Heading 4 Char"/>
    <w:next w:val="style128"/>
    <w:rPr>
      <w:rFonts w:ascii="Calibri" w:cs="Times New Roman" w:eastAsia="Times New Roman" w:hAnsi="Calibri"/>
      <w:b/>
      <w:bCs/>
      <w:sz w:val="28"/>
      <w:szCs w:val="28"/>
    </w:rPr>
  </w:style>
  <w:style w:styleId="style129" w:type="character">
    <w:name w:val="Heading 6 Char"/>
    <w:next w:val="style129"/>
    <w:rPr>
      <w:rFonts w:ascii="Calibri" w:cs="Times New Roman" w:eastAsia="Times New Roman" w:hAnsi="Calibri"/>
      <w:b/>
      <w:bCs/>
      <w:sz w:val="22"/>
      <w:szCs w:val="22"/>
    </w:rPr>
  </w:style>
  <w:style w:styleId="style130" w:type="character">
    <w:name w:val="Heading 7 Char"/>
    <w:next w:val="style130"/>
    <w:rPr>
      <w:rFonts w:ascii="Calibri" w:cs="Times New Roman" w:eastAsia="Times New Roman" w:hAnsi="Calibri"/>
      <w:sz w:val="24"/>
      <w:szCs w:val="24"/>
    </w:rPr>
  </w:style>
  <w:style w:styleId="style131" w:type="character">
    <w:name w:val="Heading 8 Char"/>
    <w:next w:val="style131"/>
    <w:rPr>
      <w:rFonts w:ascii="Calibri" w:cs="Times New Roman" w:eastAsia="Times New Roman" w:hAnsi="Calibri"/>
      <w:i/>
      <w:iCs/>
      <w:sz w:val="24"/>
      <w:szCs w:val="24"/>
    </w:rPr>
  </w:style>
  <w:style w:styleId="style132" w:type="character">
    <w:name w:val="Heading 9 Char"/>
    <w:next w:val="style132"/>
    <w:rPr>
      <w:rFonts w:ascii="Cambria" w:cs="Times New Roman" w:eastAsia="Times New Roman" w:hAnsi="Cambria"/>
      <w:sz w:val="22"/>
      <w:szCs w:val="22"/>
    </w:rPr>
  </w:style>
  <w:style w:styleId="style133" w:type="character">
    <w:name w:val="Bullets"/>
    <w:next w:val="style133"/>
    <w:rPr>
      <w:rFonts w:ascii="OpenSymbol" w:cs="OpenSymbol" w:eastAsia="OpenSymbol" w:hAnsi="OpenSymbol"/>
    </w:rPr>
  </w:style>
  <w:style w:styleId="style134" w:type="character">
    <w:name w:val="FollowedHyperlink"/>
    <w:basedOn w:val="style28"/>
    <w:next w:val="style134"/>
    <w:rPr>
      <w:color w:val="800080"/>
      <w:u w:val="single"/>
    </w:rPr>
  </w:style>
  <w:style w:styleId="style135" w:type="character">
    <w:name w:val="ListLabel 1"/>
    <w:next w:val="style135"/>
    <w:rPr>
      <w:rFonts w:cs="Times New Roman"/>
    </w:rPr>
  </w:style>
  <w:style w:styleId="style136" w:type="character">
    <w:name w:val="ListLabel 2"/>
    <w:next w:val="style136"/>
    <w:rPr>
      <w:rFonts w:cs="Times New Roman"/>
      <w:b w:val="false"/>
    </w:rPr>
  </w:style>
  <w:style w:styleId="style137" w:type="character">
    <w:name w:val="ListLabel 3"/>
    <w:next w:val="style137"/>
    <w:rPr>
      <w:rFonts w:cs="Courier New"/>
    </w:rPr>
  </w:style>
  <w:style w:styleId="style138" w:type="character">
    <w:name w:val="ListLabel 4"/>
    <w:next w:val="style138"/>
    <w:rPr>
      <w:rFonts w:cs="Wingdings"/>
    </w:rPr>
  </w:style>
  <w:style w:styleId="style139" w:type="character">
    <w:name w:val="ListLabel 5"/>
    <w:next w:val="style139"/>
    <w:rPr>
      <w:rFonts w:cs="Symbol"/>
    </w:rPr>
  </w:style>
  <w:style w:styleId="style140" w:type="character">
    <w:name w:val="ListLabel 6"/>
    <w:next w:val="style140"/>
    <w:rPr>
      <w:b/>
    </w:rPr>
  </w:style>
  <w:style w:styleId="style141" w:type="character">
    <w:name w:val="Index Link"/>
    <w:next w:val="style141"/>
    <w:rPr/>
  </w:style>
  <w:style w:styleId="style142" w:type="paragraph">
    <w:name w:val="Heading"/>
    <w:basedOn w:val="style0"/>
    <w:next w:val="style143"/>
    <w:pPr>
      <w:keepNext/>
      <w:spacing w:after="120" w:before="240"/>
    </w:pPr>
    <w:rPr>
      <w:rFonts w:ascii="Liberation Sans" w:cs="DejaVu Sans" w:eastAsia="DejaVu Sans" w:hAnsi="Liberation Sans"/>
      <w:sz w:val="28"/>
      <w:szCs w:val="28"/>
    </w:rPr>
  </w:style>
  <w:style w:styleId="style143" w:type="paragraph">
    <w:name w:val="Text body"/>
    <w:basedOn w:val="style0"/>
    <w:next w:val="style143"/>
    <w:pPr>
      <w:spacing w:after="120" w:before="0"/>
    </w:pPr>
    <w:rPr/>
  </w:style>
  <w:style w:styleId="style144" w:type="paragraph">
    <w:name w:val="List"/>
    <w:basedOn w:val="style143"/>
    <w:next w:val="style144"/>
    <w:pPr/>
    <w:rPr>
      <w:rFonts w:cs="Lohit Hindi"/>
    </w:rPr>
  </w:style>
  <w:style w:styleId="style145" w:type="paragraph">
    <w:name w:val="Caption"/>
    <w:basedOn w:val="style0"/>
    <w:next w:val="style145"/>
    <w:pPr>
      <w:suppressLineNumbers/>
      <w:spacing w:after="120" w:before="120"/>
    </w:pPr>
    <w:rPr>
      <w:rFonts w:cs="Lohit Hindi"/>
      <w:i/>
      <w:iCs/>
      <w:sz w:val="24"/>
      <w:szCs w:val="24"/>
    </w:rPr>
  </w:style>
  <w:style w:styleId="style146" w:type="paragraph">
    <w:name w:val="Index"/>
    <w:basedOn w:val="style0"/>
    <w:next w:val="style146"/>
    <w:pPr>
      <w:suppressLineNumbers/>
    </w:pPr>
    <w:rPr>
      <w:rFonts w:cs="Lohit Hindi"/>
    </w:rPr>
  </w:style>
  <w:style w:styleId="style147" w:type="paragraph">
    <w:name w:val="caption"/>
    <w:basedOn w:val="style0"/>
    <w:next w:val="style147"/>
    <w:pPr/>
    <w:rPr>
      <w:b/>
      <w:bCs/>
      <w:sz w:val="20"/>
      <w:szCs w:val="20"/>
    </w:rPr>
  </w:style>
  <w:style w:styleId="style148" w:type="paragraph">
    <w:name w:val="Header"/>
    <w:basedOn w:val="style0"/>
    <w:next w:val="style148"/>
    <w:pPr>
      <w:suppressLineNumbers/>
      <w:tabs>
        <w:tab w:leader="none" w:pos="4986" w:val="center"/>
        <w:tab w:leader="none" w:pos="9972" w:val="right"/>
      </w:tabs>
    </w:pPr>
    <w:rPr/>
  </w:style>
  <w:style w:styleId="style149" w:type="paragraph">
    <w:name w:val="Footer"/>
    <w:basedOn w:val="style0"/>
    <w:next w:val="style149"/>
    <w:pPr>
      <w:suppressLineNumbers/>
      <w:tabs>
        <w:tab w:leader="none" w:pos="4986" w:val="center"/>
        <w:tab w:leader="none" w:pos="9972" w:val="right"/>
      </w:tabs>
    </w:pPr>
    <w:rPr/>
  </w:style>
  <w:style w:styleId="style150" w:type="paragraph">
    <w:name w:val="Plain Text"/>
    <w:basedOn w:val="style0"/>
    <w:next w:val="style150"/>
    <w:pPr/>
    <w:rPr>
      <w:rFonts w:ascii="Courier New" w:cs="Courier New" w:hAnsi="Courier New"/>
      <w:sz w:val="20"/>
      <w:szCs w:val="20"/>
    </w:rPr>
  </w:style>
  <w:style w:styleId="style151" w:type="paragraph">
    <w:name w:val="Document Map"/>
    <w:basedOn w:val="style0"/>
    <w:next w:val="style151"/>
    <w:pPr>
      <w:shd w:fill="000080" w:val="clear"/>
    </w:pPr>
    <w:rPr>
      <w:rFonts w:ascii="Tahoma" w:cs="Tahoma" w:hAnsi="Tahoma"/>
      <w:sz w:val="20"/>
      <w:szCs w:val="20"/>
    </w:rPr>
  </w:style>
  <w:style w:styleId="style152" w:type="paragraph">
    <w:name w:val="Contents 1"/>
    <w:basedOn w:val="style0"/>
    <w:next w:val="style152"/>
    <w:pPr>
      <w:tabs>
        <w:tab w:leader="dot" w:pos="9972" w:val="right"/>
      </w:tabs>
      <w:ind w:hanging="0" w:left="0" w:right="0"/>
    </w:pPr>
    <w:rPr/>
  </w:style>
  <w:style w:styleId="style153" w:type="paragraph">
    <w:name w:val="Contents 3"/>
    <w:basedOn w:val="style0"/>
    <w:next w:val="style153"/>
    <w:pPr>
      <w:tabs>
        <w:tab w:leader="dot" w:pos="9886" w:val="right"/>
      </w:tabs>
      <w:ind w:hanging="0" w:left="480" w:right="0"/>
    </w:pPr>
    <w:rPr/>
  </w:style>
  <w:style w:styleId="style154" w:type="paragraph">
    <w:name w:val="line886"/>
    <w:basedOn w:val="style0"/>
    <w:next w:val="style154"/>
    <w:pPr>
      <w:spacing w:after="280" w:before="280"/>
    </w:pPr>
    <w:rPr/>
  </w:style>
  <w:style w:styleId="style155" w:type="paragraph">
    <w:name w:val="Contents 2"/>
    <w:basedOn w:val="style0"/>
    <w:next w:val="style155"/>
    <w:pPr>
      <w:tabs>
        <w:tab w:leader="dot" w:pos="9929" w:val="right"/>
      </w:tabs>
      <w:ind w:hanging="0" w:left="240" w:right="0"/>
    </w:pPr>
    <w:rPr/>
  </w:style>
  <w:style w:styleId="style156" w:type="paragraph">
    <w:name w:val="Contents 5"/>
    <w:basedOn w:val="style0"/>
    <w:next w:val="style156"/>
    <w:pPr>
      <w:tabs>
        <w:tab w:leader="dot" w:pos="9800" w:val="right"/>
      </w:tabs>
      <w:ind w:hanging="0" w:left="960" w:right="0"/>
    </w:pPr>
    <w:rPr/>
  </w:style>
  <w:style w:styleId="style157" w:type="paragraph">
    <w:name w:val="line903"/>
    <w:basedOn w:val="style0"/>
    <w:next w:val="style157"/>
    <w:pPr>
      <w:spacing w:after="280" w:before="280"/>
    </w:pPr>
    <w:rPr/>
  </w:style>
  <w:style w:styleId="style158" w:type="paragraph">
    <w:name w:val="List Paragraph"/>
    <w:basedOn w:val="style0"/>
    <w:next w:val="style158"/>
    <w:pPr>
      <w:ind w:hanging="0" w:left="720" w:right="0"/>
    </w:pPr>
    <w:rPr/>
  </w:style>
  <w:style w:styleId="style159" w:type="paragraph">
    <w:name w:val="Contents Heading"/>
    <w:basedOn w:val="style1"/>
    <w:next w:val="style159"/>
    <w:pPr>
      <w:keepLines/>
      <w:suppressLineNumbers/>
      <w:spacing w:after="0" w:before="480" w:line="276" w:lineRule="auto"/>
    </w:pPr>
    <w:rPr>
      <w:rFonts w:ascii="Cambria" w:cs="Times New Roman" w:hAnsi="Cambria"/>
      <w:b/>
      <w:bCs/>
      <w:color w:val="365F91"/>
      <w:sz w:val="28"/>
      <w:szCs w:val="28"/>
    </w:rPr>
  </w:style>
  <w:style w:styleId="style160" w:type="paragraph">
    <w:name w:val="Balloon Text"/>
    <w:basedOn w:val="style0"/>
    <w:next w:val="style160"/>
    <w:pPr/>
    <w:rPr>
      <w:rFonts w:ascii="Tahoma" w:cs="Tahoma" w:hAnsi="Tahoma"/>
      <w:sz w:val="16"/>
      <w:szCs w:val="16"/>
    </w:rPr>
  </w:style>
  <w:style w:styleId="style161" w:type="paragraph">
    <w:name w:val="Title"/>
    <w:basedOn w:val="style0"/>
    <w:next w:val="style162"/>
    <w:pPr>
      <w:spacing w:after="60" w:before="240"/>
      <w:jc w:val="center"/>
    </w:pPr>
    <w:rPr>
      <w:rFonts w:ascii="Cambria" w:cs="Cambria" w:hAnsi="Cambria"/>
      <w:b/>
      <w:bCs/>
      <w:i/>
      <w:sz w:val="32"/>
      <w:szCs w:val="32"/>
    </w:rPr>
  </w:style>
  <w:style w:styleId="style162" w:type="paragraph">
    <w:name w:val="Subtitle"/>
    <w:basedOn w:val="style142"/>
    <w:next w:val="style143"/>
    <w:pPr>
      <w:jc w:val="center"/>
    </w:pPr>
    <w:rPr>
      <w:i/>
      <w:iCs/>
      <w:sz w:val="28"/>
      <w:szCs w:val="28"/>
    </w:rPr>
  </w:style>
  <w:style w:styleId="style163" w:type="paragraph">
    <w:name w:val="HTML Preformatted"/>
    <w:basedOn w:val="style0"/>
    <w:next w:val="style163"/>
    <w:pPr/>
    <w:rPr>
      <w:rFonts w:ascii="Courier New" w:cs="Courier New" w:hAnsi="Courier New"/>
      <w:sz w:val="20"/>
      <w:szCs w:val="20"/>
    </w:rPr>
  </w:style>
  <w:style w:styleId="style164" w:type="paragraph">
    <w:name w:val="Step"/>
    <w:basedOn w:val="style0"/>
    <w:next w:val="style164"/>
    <w:pPr>
      <w:spacing w:after="120" w:before="0"/>
    </w:pPr>
    <w:rPr>
      <w:b/>
    </w:rPr>
  </w:style>
  <w:style w:styleId="style165" w:type="paragraph">
    <w:name w:val="Style1"/>
    <w:basedOn w:val="style164"/>
    <w:next w:val="style165"/>
    <w:pPr>
      <w:spacing w:after="120" w:before="120"/>
    </w:pPr>
    <w:rPr/>
  </w:style>
  <w:style w:styleId="style166" w:type="paragraph">
    <w:name w:val="Style2"/>
    <w:basedOn w:val="style165"/>
    <w:next w:val="style166"/>
    <w:pPr>
      <w:spacing w:after="120" w:before="240"/>
    </w:pPr>
    <w:rPr/>
  </w:style>
  <w:style w:styleId="style167" w:type="paragraph">
    <w:name w:val="WW-Default"/>
    <w:next w:val="style167"/>
    <w:pPr>
      <w:widowControl w:val="false"/>
      <w:tabs>
        <w:tab w:leader="none" w:pos="720" w:val="left"/>
      </w:tabs>
      <w:suppressAutoHyphens w:val="true"/>
    </w:pPr>
    <w:rPr>
      <w:rFonts w:ascii="Times New Roman" w:cs="Times New Roman" w:eastAsia="Arial" w:hAnsi="Times New Roman"/>
      <w:color w:val="000000"/>
      <w:sz w:val="24"/>
      <w:szCs w:val="24"/>
      <w:lang w:bidi="ar-SA" w:eastAsia="zh-CN" w:val="en-US"/>
    </w:rPr>
  </w:style>
  <w:style w:styleId="style168" w:type="paragraph">
    <w:name w:val="Table Contents"/>
    <w:basedOn w:val="style0"/>
    <w:next w:val="style168"/>
    <w:pPr>
      <w:suppressLineNumbers/>
    </w:pPr>
    <w:rPr/>
  </w:style>
  <w:style w:styleId="style169" w:type="paragraph">
    <w:name w:val="Table Heading"/>
    <w:basedOn w:val="style168"/>
    <w:next w:val="style169"/>
    <w:pPr>
      <w:suppressLineNumbers/>
      <w:jc w:val="center"/>
    </w:pPr>
    <w:rPr>
      <w:b/>
      <w:bCs/>
    </w:rPr>
  </w:style>
  <w:style w:styleId="style170" w:type="paragraph">
    <w:name w:val="Contents 4"/>
    <w:basedOn w:val="style146"/>
    <w:next w:val="style170"/>
    <w:pPr>
      <w:tabs>
        <w:tab w:leader="dot" w:pos="9972" w:val="right"/>
      </w:tabs>
      <w:ind w:hanging="0" w:left="849" w:right="0"/>
    </w:pPr>
    <w:rPr/>
  </w:style>
  <w:style w:styleId="style171" w:type="paragraph">
    <w:name w:val="Contents 6"/>
    <w:basedOn w:val="style146"/>
    <w:next w:val="style171"/>
    <w:pPr>
      <w:tabs>
        <w:tab w:leader="dot" w:pos="9972" w:val="right"/>
      </w:tabs>
      <w:ind w:hanging="0" w:left="1415" w:right="0"/>
    </w:pPr>
    <w:rPr/>
  </w:style>
  <w:style w:styleId="style172" w:type="paragraph">
    <w:name w:val="Contents 7"/>
    <w:basedOn w:val="style146"/>
    <w:next w:val="style172"/>
    <w:pPr>
      <w:tabs>
        <w:tab w:leader="dot" w:pos="9972" w:val="right"/>
      </w:tabs>
      <w:ind w:hanging="0" w:left="1698" w:right="0"/>
    </w:pPr>
    <w:rPr/>
  </w:style>
  <w:style w:styleId="style173" w:type="paragraph">
    <w:name w:val="Contents 8"/>
    <w:basedOn w:val="style146"/>
    <w:next w:val="style173"/>
    <w:pPr>
      <w:tabs>
        <w:tab w:leader="dot" w:pos="9972" w:val="right"/>
      </w:tabs>
      <w:ind w:hanging="0" w:left="1981" w:right="0"/>
    </w:pPr>
    <w:rPr/>
  </w:style>
  <w:style w:styleId="style174" w:type="paragraph">
    <w:name w:val="Contents 9"/>
    <w:basedOn w:val="style146"/>
    <w:next w:val="style174"/>
    <w:pPr>
      <w:tabs>
        <w:tab w:leader="dot" w:pos="9972" w:val="right"/>
      </w:tabs>
      <w:ind w:hanging="0" w:left="2264" w:right="0"/>
    </w:pPr>
    <w:rPr/>
  </w:style>
  <w:style w:styleId="style175" w:type="paragraph">
    <w:name w:val="Contents 10"/>
    <w:basedOn w:val="style146"/>
    <w:next w:val="style175"/>
    <w:pPr>
      <w:tabs>
        <w:tab w:leader="dot" w:pos="9972" w:val="right"/>
      </w:tabs>
      <w:ind w:hanging="0" w:left="2547" w:right="0"/>
    </w:pPr>
    <w:rPr/>
  </w:style>
  <w:style w:styleId="style176" w:type="paragraph">
    <w:name w:val="Caption1"/>
    <w:basedOn w:val="style0"/>
    <w:next w:val="style176"/>
    <w:pPr>
      <w:tabs>
        <w:tab w:leader="none" w:pos="720" w:val="left"/>
      </w:tabs>
    </w:pPr>
    <w:rPr>
      <w:b/>
      <w:bCs/>
      <w:color w:val="00000A"/>
      <w:sz w:val="20"/>
      <w:szCs w:val="20"/>
    </w:rPr>
  </w:style>
  <w:style w:styleId="style177" w:type="paragraph">
    <w:name w:val="Frame contents"/>
    <w:basedOn w:val="style143"/>
    <w:next w:val="style17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33.jpeg"/><Relationship Id="rId8" Type="http://schemas.openxmlformats.org/officeDocument/2006/relationships/image" Target="media/image134.jpeg"/><Relationship Id="rId9" Type="http://schemas.openxmlformats.org/officeDocument/2006/relationships/image" Target="media/image135.png"/><Relationship Id="rId10" Type="http://schemas.openxmlformats.org/officeDocument/2006/relationships/image" Target="media/image136.jpeg"/><Relationship Id="rId11" Type="http://schemas.openxmlformats.org/officeDocument/2006/relationships/image" Target="media/image137.png"/><Relationship Id="rId12" Type="http://schemas.openxmlformats.org/officeDocument/2006/relationships/image" Target="media/image138.jpeg"/><Relationship Id="rId13" Type="http://schemas.openxmlformats.org/officeDocument/2006/relationships/image" Target="media/image139.png"/><Relationship Id="rId14" Type="http://schemas.openxmlformats.org/officeDocument/2006/relationships/image" Target="media/image140.jpeg"/><Relationship Id="rId15" Type="http://schemas.openxmlformats.org/officeDocument/2006/relationships/image" Target="media/image141.png"/><Relationship Id="rId16" Type="http://schemas.openxmlformats.org/officeDocument/2006/relationships/image" Target="media/image142.jpeg"/><Relationship Id="rId17" Type="http://schemas.openxmlformats.org/officeDocument/2006/relationships/image" Target="media/image143.png"/><Relationship Id="rId18" Type="http://schemas.openxmlformats.org/officeDocument/2006/relationships/image" Target="media/image144.jpeg"/><Relationship Id="rId19" Type="http://schemas.openxmlformats.org/officeDocument/2006/relationships/image" Target="media/image145.wmf"/><Relationship Id="rId20" Type="http://schemas.openxmlformats.org/officeDocument/2006/relationships/image" Target="media/image146.wmf"/><Relationship Id="rId21" Type="http://schemas.openxmlformats.org/officeDocument/2006/relationships/image" Target="media/image147.png"/><Relationship Id="rId22" Type="http://schemas.openxmlformats.org/officeDocument/2006/relationships/image" Target="media/image148.jpeg"/><Relationship Id="rId23" Type="http://schemas.openxmlformats.org/officeDocument/2006/relationships/image" Target="media/image149.jpeg"/><Relationship Id="rId24" Type="http://schemas.openxmlformats.org/officeDocument/2006/relationships/image" Target="media/image150.jpeg"/><Relationship Id="rId25" Type="http://schemas.openxmlformats.org/officeDocument/2006/relationships/image" Target="media/image151.jpeg"/><Relationship Id="rId26" Type="http://schemas.openxmlformats.org/officeDocument/2006/relationships/image" Target="media/image152.jpeg"/><Relationship Id="rId27" Type="http://schemas.openxmlformats.org/officeDocument/2006/relationships/image" Target="media/image153.png"/><Relationship Id="rId28" Type="http://schemas.openxmlformats.org/officeDocument/2006/relationships/image" Target="media/image154.jpeg"/><Relationship Id="rId29" Type="http://schemas.openxmlformats.org/officeDocument/2006/relationships/image" Target="media/image155.jpeg"/><Relationship Id="rId30" Type="http://schemas.openxmlformats.org/officeDocument/2006/relationships/image" Target="media/image156.jpeg"/><Relationship Id="rId31" Type="http://schemas.openxmlformats.org/officeDocument/2006/relationships/image" Target="media/image157.jpeg"/><Relationship Id="rId32" Type="http://schemas.openxmlformats.org/officeDocument/2006/relationships/image" Target="media/image158.jpeg"/><Relationship Id="rId33" Type="http://schemas.openxmlformats.org/officeDocument/2006/relationships/image" Target="media/image159.jpeg"/><Relationship Id="rId34" Type="http://schemas.openxmlformats.org/officeDocument/2006/relationships/image" Target="media/image160.png"/><Relationship Id="rId35" Type="http://schemas.openxmlformats.org/officeDocument/2006/relationships/image" Target="media/image161.jpeg"/><Relationship Id="rId36" Type="http://schemas.openxmlformats.org/officeDocument/2006/relationships/image" Target="media/image162.png"/><Relationship Id="rId37" Type="http://schemas.openxmlformats.org/officeDocument/2006/relationships/image" Target="media/image163.png"/><Relationship Id="rId38" Type="http://schemas.openxmlformats.org/officeDocument/2006/relationships/image" Target="media/image164.png"/><Relationship Id="rId39" Type="http://schemas.openxmlformats.org/officeDocument/2006/relationships/image" Target="media/image165.png"/><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LibreOffice/3.5$Linux_X86_64 LibreOffice_project/350m1$Build-2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2013-11-02T00:12:00.00Z</dcterms:created>
  <dc:creator>Fabrice Matichard</dc:creator>
  <cp:lastModifiedBy>Hugo Paris</cp:lastModifiedBy>
  <cp:lastPrinted>2013-06-12T17:49:00.00Z</cp:lastPrinted>
  <dcterms:modified xsi:type="dcterms:W3CDTF">2013-11-02T00:12:00.00Z</dcterms:modified>
  <cp:revision>2</cp:revision>
  <dc:title>LIGO Laboratory / LIGO Scientific Collaboration</dc:title>
</cp:coreProperties>
</file>