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  <w:spacing w:after="120" w:before="240"/>
      </w:pPr>
      <w:r>
        <w:rPr>
          <w:color w:val="0000FF"/>
        </w:rPr>
        <w:t>Best Practices for the LIGO Scientific Collaboration</w:t>
      </w:r>
    </w:p>
    <w:p>
      <w:pPr>
        <w:pStyle w:val="style0"/>
        <w:jc w:val="left"/>
      </w:pPr>
      <w:r>
        <w:rPr>
          <w:i/>
          <w:iCs/>
        </w:rPr>
        <w:t>Neil Gehrels, on behalf of the LSC-Diversity group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sz w:val="24"/>
          <w:szCs w:val="24"/>
        </w:rPr>
        <w:t>The academic strength of the LIGO Scientific Collaboration (LSC) is closely linked to its</w:t>
      </w:r>
    </w:p>
    <w:p>
      <w:pPr>
        <w:pStyle w:val="style0"/>
        <w:jc w:val="left"/>
      </w:pPr>
      <w:r>
        <w:rPr>
          <w:sz w:val="24"/>
          <w:szCs w:val="24"/>
        </w:rPr>
        <w:t xml:space="preserve">diversity, drawing highly talented scientists of different gender, race, ethnic and economic backgrounds, and from many countries. This principle has recently been reaffirmed by the adoption of the </w:t>
      </w:r>
      <w:r>
        <w:rPr>
          <w:i/>
          <w:iCs/>
          <w:sz w:val="24"/>
          <w:szCs w:val="24"/>
        </w:rPr>
        <w:t>LSC Diversity Statement</w:t>
      </w:r>
      <w:r>
        <w:rPr>
          <w:sz w:val="24"/>
          <w:szCs w:val="24"/>
        </w:rPr>
        <w:t xml:space="preserve"> (</w:t>
      </w:r>
      <w:hyperlink r:id="rId2">
        <w:r>
          <w:rPr>
            <w:rStyle w:val="style17"/>
            <w:rStyle w:val="style17"/>
            <w:sz w:val="24"/>
            <w:szCs w:val="24"/>
          </w:rPr>
          <w:t xml:space="preserve">LIGO </w:t>
        </w:r>
      </w:hyperlink>
      <w:bookmarkStart w:id="0" w:name="title"/>
      <w:bookmarkEnd w:id="0"/>
      <w:r>
        <w:rPr>
          <w:rStyle w:val="style17"/>
          <w:sz w:val="24"/>
          <w:szCs w:val="24"/>
        </w:rPr>
        <w:t>Document M1300484</w:t>
      </w:r>
      <w:r>
        <w:rPr>
          <w:sz w:val="24"/>
          <w:szCs w:val="24"/>
        </w:rPr>
        <w:t>). The richness of human resources in the LSC may be fostered by adopting the following guiding principles:</w:t>
      </w:r>
    </w:p>
    <w:p>
      <w:pPr>
        <w:pStyle w:val="style0"/>
        <w:jc w:val="left"/>
      </w:pPr>
      <w:r>
        <w:rPr/>
      </w:r>
    </w:p>
    <w:p>
      <w:pPr>
        <w:pStyle w:val="style0"/>
        <w:numPr>
          <w:ilvl w:val="0"/>
          <w:numId w:val="2"/>
        </w:numPr>
        <w:ind w:hanging="360" w:left="720" w:right="0"/>
        <w:jc w:val="left"/>
      </w:pPr>
      <w:r>
        <w:rPr/>
        <w:t>All LSC members deserve equal opportunities to contribute to the LSC.</w:t>
      </w:r>
    </w:p>
    <w:p>
      <w:pPr>
        <w:pStyle w:val="style0"/>
        <w:numPr>
          <w:ilvl w:val="0"/>
          <w:numId w:val="2"/>
        </w:numPr>
        <w:ind w:hanging="360" w:left="720" w:right="0"/>
        <w:jc w:val="left"/>
      </w:pPr>
      <w:r>
        <w:rPr/>
        <w:t>Full participation of all LSC members will maximize excellence in the collaboration.</w:t>
      </w:r>
    </w:p>
    <w:p>
      <w:pPr>
        <w:pStyle w:val="style0"/>
        <w:numPr>
          <w:ilvl w:val="0"/>
          <w:numId w:val="2"/>
        </w:numPr>
        <w:ind w:hanging="360" w:left="720" w:right="0"/>
        <w:jc w:val="left"/>
      </w:pPr>
      <w:r>
        <w:rPr/>
        <w:t>Long-term change requires periodic evaluation of progress and consequent action to address areas where improvement is necessary.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  <w:t>To fulfill these principles, the LSC-Diversity group recommends that: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i/>
          <w:iCs/>
        </w:rPr>
        <w:t>The LSC leadership</w:t>
      </w:r>
    </w:p>
    <w:p>
      <w:pPr>
        <w:pStyle w:val="style0"/>
        <w:jc w:val="left"/>
      </w:pPr>
      <w:r>
        <w:rPr/>
      </w:r>
    </w:p>
    <w:p>
      <w:pPr>
        <w:pStyle w:val="style0"/>
        <w:numPr>
          <w:ilvl w:val="0"/>
          <w:numId w:val="3"/>
        </w:numPr>
        <w:jc w:val="left"/>
      </w:pPr>
      <w:r>
        <w:rPr/>
        <w:t>communicate to members of the LSC why diversity issues are important and how a welcoming and mutually supportive environment will help the LSC be successful;</w:t>
      </w:r>
    </w:p>
    <w:p>
      <w:pPr>
        <w:pStyle w:val="style0"/>
        <w:numPr>
          <w:ilvl w:val="0"/>
          <w:numId w:val="3"/>
        </w:numPr>
        <w:jc w:val="left"/>
      </w:pPr>
      <w:r>
        <w:rPr/>
        <w:t>be sensitive to including women and under-represented minorities in key committees and in leadership roles, to give them a voice in the collaboration;</w:t>
      </w:r>
    </w:p>
    <w:p>
      <w:pPr>
        <w:pStyle w:val="style0"/>
        <w:numPr>
          <w:ilvl w:val="0"/>
          <w:numId w:val="3"/>
        </w:numPr>
        <w:jc w:val="left"/>
      </w:pPr>
      <w:r>
        <w:rPr/>
        <w:t>strive for transparency in collaboration governance by developing clear and written procedures for activities;</w:t>
      </w:r>
    </w:p>
    <w:p>
      <w:pPr>
        <w:pStyle w:val="style0"/>
        <w:numPr>
          <w:ilvl w:val="0"/>
          <w:numId w:val="3"/>
        </w:numPr>
        <w:jc w:val="left"/>
      </w:pPr>
      <w:r>
        <w:rPr/>
        <w:t>develop explicit, clear, written policies for filling all LSC positions and make them available to the LSC;</w:t>
      </w:r>
    </w:p>
    <w:p>
      <w:pPr>
        <w:pStyle w:val="style0"/>
        <w:numPr>
          <w:ilvl w:val="0"/>
          <w:numId w:val="3"/>
        </w:numPr>
        <w:jc w:val="left"/>
      </w:pPr>
      <w:r>
        <w:rPr/>
        <w:t>set up a process for external review of the diversity practices in the LSC;</w:t>
      </w:r>
    </w:p>
    <w:p>
      <w:pPr>
        <w:pStyle w:val="style0"/>
        <w:numPr>
          <w:ilvl w:val="0"/>
          <w:numId w:val="3"/>
        </w:numPr>
        <w:jc w:val="left"/>
      </w:pPr>
      <w:r>
        <w:rPr/>
        <w:t>develop clear and reasonable policies for parental leave so that members can return to their previous LSC levels of responsibility after a parental break;</w:t>
      </w:r>
    </w:p>
    <w:p>
      <w:pPr>
        <w:pStyle w:val="style0"/>
        <w:numPr>
          <w:ilvl w:val="0"/>
          <w:numId w:val="3"/>
        </w:numPr>
        <w:jc w:val="left"/>
      </w:pPr>
      <w:r>
        <w:rPr/>
        <w:t>develop good mentoring practices for all new members;</w:t>
      </w:r>
    </w:p>
    <w:p>
      <w:pPr>
        <w:pStyle w:val="style0"/>
        <w:numPr>
          <w:ilvl w:val="0"/>
          <w:numId w:val="3"/>
        </w:numPr>
        <w:jc w:val="left"/>
      </w:pPr>
      <w:r>
        <w:rPr/>
        <w:t>develop a procedure for nominating members for high-visibility opportunities in presentations, panel representation and external awards;</w:t>
      </w:r>
    </w:p>
    <w:p>
      <w:pPr>
        <w:pStyle w:val="style0"/>
        <w:numPr>
          <w:ilvl w:val="0"/>
          <w:numId w:val="3"/>
        </w:numPr>
        <w:jc w:val="left"/>
      </w:pPr>
      <w:r>
        <w:rPr/>
        <w:t>deal immediately and firmly to address cases of discrimination within the collaboration.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i/>
          <w:iCs/>
        </w:rPr>
        <w:t>The LSC membership</w:t>
      </w:r>
    </w:p>
    <w:p>
      <w:pPr>
        <w:pStyle w:val="style0"/>
        <w:jc w:val="left"/>
      </w:pPr>
      <w:r>
        <w:rPr/>
      </w:r>
    </w:p>
    <w:p>
      <w:pPr>
        <w:pStyle w:val="style0"/>
        <w:numPr>
          <w:ilvl w:val="0"/>
          <w:numId w:val="4"/>
        </w:numPr>
        <w:jc w:val="left"/>
      </w:pPr>
      <w:r>
        <w:rPr/>
        <w:t xml:space="preserve">strive to adopt best practices of societies like </w:t>
      </w:r>
      <w:hyperlink r:id="rId3">
        <w:r>
          <w:rPr>
            <w:rStyle w:val="style17"/>
            <w:rStyle w:val="style17"/>
          </w:rPr>
          <w:t>APS</w:t>
        </w:r>
      </w:hyperlink>
      <w:r>
        <w:rPr/>
        <w:t xml:space="preserve"> and </w:t>
      </w:r>
      <w:hyperlink r:id="rId4">
        <w:r>
          <w:rPr>
            <w:rStyle w:val="style17"/>
            <w:rStyle w:val="style17"/>
          </w:rPr>
          <w:t>AAS</w:t>
        </w:r>
      </w:hyperlink>
      <w:r>
        <w:rPr/>
        <w:t xml:space="preserve"> at their home institutions;</w:t>
      </w:r>
    </w:p>
    <w:p>
      <w:pPr>
        <w:pStyle w:val="style0"/>
        <w:numPr>
          <w:ilvl w:val="0"/>
          <w:numId w:val="4"/>
        </w:numPr>
        <w:jc w:val="left"/>
      </w:pPr>
      <w:r>
        <w:rPr/>
        <w:t>set a high standard of treating all LSC colleagues with respect;</w:t>
      </w:r>
    </w:p>
    <w:p>
      <w:pPr>
        <w:pStyle w:val="style0"/>
        <w:numPr>
          <w:ilvl w:val="0"/>
          <w:numId w:val="4"/>
        </w:numPr>
        <w:jc w:val="left"/>
      </w:pPr>
      <w:r>
        <w:rPr/>
        <w:t>maintain a welcoming environment for new members.</w:t>
      </w:r>
    </w:p>
    <w:sectPr>
      <w:type w:val="nextPage"/>
      <w:pgSz w:h="15840" w:w="12240"/>
      <w:pgMar w:bottom="1080" w:footer="0" w:gutter="0" w:header="0" w:left="1800" w:right="1800" w:top="108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ind w:hanging="360" w:left="72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ind w:hanging="360" w:left="108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ind w:hanging="360" w:left="144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ind w:hanging="360" w:left="180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ind w:hanging="360" w:left="216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ind w:hanging="360" w:left="288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ind w:hanging="360" w:left="324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2.%3."/>
      <w:lvlJc w:val="left"/>
      <w:pPr>
        <w:ind w:hanging="360" w:left="1440"/>
      </w:pPr>
    </w:lvl>
    <w:lvl w:ilvl="3">
      <w:start w:val="1"/>
      <w:numFmt w:val="decimal"/>
      <w:lvlText w:val="%2.%3.%4."/>
      <w:lvlJc w:val="left"/>
      <w:pPr>
        <w:ind w:hanging="360" w:left="1800"/>
      </w:pPr>
    </w:lvl>
    <w:lvl w:ilvl="4">
      <w:start w:val="1"/>
      <w:numFmt w:val="decimal"/>
      <w:lvlText w:val="%2.%3.%4.%5."/>
      <w:lvlJc w:val="left"/>
      <w:pPr>
        <w:ind w:hanging="360" w:left="2160"/>
      </w:pPr>
    </w:lvl>
    <w:lvl w:ilvl="5">
      <w:start w:val="1"/>
      <w:numFmt w:val="decimal"/>
      <w:lvlText w:val="%2.%3.%4.%5.%6."/>
      <w:lvlJc w:val="left"/>
      <w:pPr>
        <w:ind w:hanging="360" w:left="2520"/>
      </w:pPr>
    </w:lvl>
    <w:lvl w:ilvl="6">
      <w:start w:val="1"/>
      <w:numFmt w:val="decimal"/>
      <w:lvlText w:val="%2.%3.%4.%5.%6.%7."/>
      <w:lvlJc w:val="left"/>
      <w:pPr>
        <w:ind w:hanging="360" w:left="2880"/>
      </w:pPr>
    </w:lvl>
    <w:lvl w:ilvl="7">
      <w:start w:val="1"/>
      <w:numFmt w:val="decimal"/>
      <w:lvlText w:val="%2.%3.%4.%5.%6.%7.%8."/>
      <w:lvlJc w:val="left"/>
      <w:pPr>
        <w:ind w:hanging="360" w:left="3240"/>
      </w:pPr>
    </w:lvl>
    <w:lvl w:ilvl="8">
      <w:start w:val="1"/>
      <w:numFmt w:val="decimal"/>
      <w:lvlText w:val="%2.%3.%4.%5.%6.%7.%8.%9."/>
      <w:lvlJc w:val="left"/>
      <w:pPr>
        <w:ind w:hanging="360" w:left="360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09"/>
      </w:pPr>
    </w:lvl>
    <w:lvl w:ilvl="1">
      <w:start w:val="1"/>
      <w:numFmt w:val="decimal"/>
      <w:lvlText w:val="%2."/>
      <w:lvlJc w:val="left"/>
      <w:pPr>
        <w:ind w:hanging="360" w:left="1069"/>
      </w:pPr>
    </w:lvl>
    <w:lvl w:ilvl="2">
      <w:start w:val="1"/>
      <w:numFmt w:val="decimal"/>
      <w:lvlText w:val="%2.%3."/>
      <w:lvlJc w:val="left"/>
      <w:pPr>
        <w:ind w:hanging="360" w:left="1429"/>
      </w:pPr>
    </w:lvl>
    <w:lvl w:ilvl="3">
      <w:start w:val="1"/>
      <w:numFmt w:val="decimal"/>
      <w:lvlText w:val="%2.%3.%4."/>
      <w:lvlJc w:val="left"/>
      <w:pPr>
        <w:ind w:hanging="360" w:left="1789"/>
      </w:pPr>
    </w:lvl>
    <w:lvl w:ilvl="4">
      <w:start w:val="1"/>
      <w:numFmt w:val="decimal"/>
      <w:lvlText w:val="%2.%3.%4.%5."/>
      <w:lvlJc w:val="left"/>
      <w:pPr>
        <w:ind w:hanging="360" w:left="2149"/>
      </w:pPr>
    </w:lvl>
    <w:lvl w:ilvl="5">
      <w:start w:val="1"/>
      <w:numFmt w:val="decimal"/>
      <w:lvlText w:val="%2.%3.%4.%5.%6."/>
      <w:lvlJc w:val="left"/>
      <w:pPr>
        <w:ind w:hanging="360" w:left="2509"/>
      </w:pPr>
    </w:lvl>
    <w:lvl w:ilvl="6">
      <w:start w:val="1"/>
      <w:numFmt w:val="decimal"/>
      <w:lvlText w:val="%2.%3.%4.%5.%6.%7."/>
      <w:lvlJc w:val="left"/>
      <w:pPr>
        <w:ind w:hanging="360" w:left="2869"/>
      </w:pPr>
    </w:lvl>
    <w:lvl w:ilvl="7">
      <w:start w:val="1"/>
      <w:numFmt w:val="decimal"/>
      <w:lvlText w:val="%2.%3.%4.%5.%6.%7.%8."/>
      <w:lvlJc w:val="left"/>
      <w:pPr>
        <w:ind w:hanging="360" w:left="3229"/>
      </w:pPr>
    </w:lvl>
    <w:lvl w:ilvl="8">
      <w:start w:val="1"/>
      <w:numFmt w:val="decimal"/>
      <w:lvlText w:val="%2.%3.%4.%5.%6.%7.%8.%9."/>
      <w:lvlJc w:val="left"/>
      <w:pPr>
        <w:ind w:hanging="360" w:left="3589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jc w:val="left"/>
    </w:pPr>
    <w:rPr>
      <w:rFonts w:ascii="Times" w:cs="Cambria" w:eastAsia="WenQuanYi Zen Hei" w:hAnsi="Times"/>
      <w:color w:val="00000A"/>
      <w:sz w:val="24"/>
      <w:szCs w:val="24"/>
      <w:lang w:bidi="ar-SA" w:eastAsia="en-US" w:val="en-US"/>
    </w:rPr>
  </w:style>
  <w:style w:styleId="style1" w:type="paragraph">
    <w:name w:val="Heading 1"/>
    <w:basedOn w:val="style28"/>
    <w:next w:val="style29"/>
    <w:pPr/>
    <w:rPr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Bullets"/>
    <w:next w:val="style16"/>
    <w:rPr>
      <w:rFonts w:ascii="OpenSymbol" w:cs="OpenSymbol" w:eastAsia="OpenSymbol" w:hAnsi="OpenSymbol"/>
    </w:rPr>
  </w:style>
  <w:style w:styleId="style17" w:type="character">
    <w:name w:val="Internet Link"/>
    <w:next w:val="style17"/>
    <w:rPr>
      <w:color w:val="000080"/>
      <w:u w:val="single"/>
      <w:lang w:bidi="en-US" w:eastAsia="en-US" w:val="en-US"/>
    </w:rPr>
  </w:style>
  <w:style w:styleId="style18" w:type="character">
    <w:name w:val="ListLabel 1"/>
    <w:next w:val="style18"/>
    <w:rPr/>
  </w:style>
  <w:style w:styleId="style19" w:type="character">
    <w:name w:val="ListLabel 2"/>
    <w:next w:val="style19"/>
    <w:rPr/>
  </w:style>
  <w:style w:styleId="style20" w:type="character">
    <w:name w:val="ListLabel 3"/>
    <w:next w:val="style20"/>
    <w:rPr/>
  </w:style>
  <w:style w:styleId="style21" w:type="character">
    <w:name w:val="ListLabel 4"/>
    <w:next w:val="style21"/>
    <w:rPr/>
  </w:style>
  <w:style w:styleId="style22" w:type="character">
    <w:name w:val="ListLabel 5"/>
    <w:next w:val="style22"/>
    <w:rPr/>
  </w:style>
  <w:style w:styleId="style23" w:type="character">
    <w:name w:val="ListLabel 6"/>
    <w:next w:val="style23"/>
    <w:rPr/>
  </w:style>
  <w:style w:styleId="style24" w:type="character">
    <w:name w:val="ListLabel 7"/>
    <w:next w:val="style24"/>
    <w:rPr>
      <w:rFonts w:cs="Symbol"/>
    </w:rPr>
  </w:style>
  <w:style w:styleId="style25" w:type="character">
    <w:name w:val="ListLabel 8"/>
    <w:next w:val="style25"/>
    <w:rPr>
      <w:rFonts w:cs="OpenSymbol"/>
    </w:rPr>
  </w:style>
  <w:style w:styleId="style26" w:type="character">
    <w:name w:val="ListLabel 9"/>
    <w:next w:val="style26"/>
    <w:rPr>
      <w:rFonts w:cs="Symbol"/>
    </w:rPr>
  </w:style>
  <w:style w:styleId="style27" w:type="character">
    <w:name w:val="ListLabel 10"/>
    <w:next w:val="style27"/>
    <w:rPr>
      <w:rFonts w:cs="OpenSymbol"/>
    </w:rPr>
  </w:style>
  <w:style w:styleId="style28" w:type="paragraph">
    <w:name w:val="Heading"/>
    <w:basedOn w:val="style0"/>
    <w:next w:val="style29"/>
    <w:pPr>
      <w:keepNext/>
      <w:spacing w:after="120" w:before="240"/>
    </w:pPr>
    <w:rPr>
      <w:rFonts w:ascii="Liberation Sans" w:cs="Lohit Hindi" w:eastAsia="WenQuanYi Zen Hei" w:hAnsi="Liberation Sans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</w:pPr>
    <w:rPr/>
  </w:style>
  <w:style w:styleId="style30" w:type="paragraph">
    <w:name w:val="List"/>
    <w:basedOn w:val="style29"/>
    <w:next w:val="style30"/>
    <w:pPr/>
    <w:rPr>
      <w:rFonts w:cs="Lohit Hindi"/>
    </w:rPr>
  </w:style>
  <w:style w:styleId="style31" w:type="paragraph">
    <w:name w:val="Caption"/>
    <w:basedOn w:val="style0"/>
    <w:next w:val="style3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cc.ligo.org/M1300484" TargetMode="External"/><Relationship Id="rId3" Type="http://schemas.openxmlformats.org/officeDocument/2006/relationships/hyperlink" Target="http://www.aps.org/programs/women/reports/bestpractices/index.cfm" TargetMode="External"/><Relationship Id="rId4" Type="http://schemas.openxmlformats.org/officeDocument/2006/relationships/hyperlink" Target="http://www.aas.org/cswa/pasadenarecs.htm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2013-08-18T22:47:00.00Z</dcterms:created>
  <dc:creator>Neil Gehrels</dc:creator>
  <cp:lastModifiedBy>Neil Gehrels</cp:lastModifiedBy>
  <dcterms:modified xsi:type="dcterms:W3CDTF">2013-08-22T13:07:00.00Z</dcterms:modified>
  <cp:revision>9</cp:revision>
</cp:coreProperties>
</file>