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E9" w:rsidRPr="00FA0B84" w:rsidRDefault="007675AF" w:rsidP="00B9090B">
      <w:pPr>
        <w:jc w:val="center"/>
        <w:rPr>
          <w:b/>
          <w:sz w:val="28"/>
          <w:szCs w:val="28"/>
        </w:rPr>
      </w:pPr>
      <w:r w:rsidRPr="007675AF">
        <w:rPr>
          <w:rFonts w:ascii="Times New Roman" w:hAnsi="Times New Roman"/>
          <w:noProof/>
        </w:rPr>
        <w:pict>
          <v:shapetype id="_x0000_t202" coordsize="21600,21600" o:spt="202" path="m,l,21600r21600,l21600,xe">
            <v:stroke joinstyle="miter"/>
            <v:path gradientshapeok="t" o:connecttype="rect"/>
          </v:shapetype>
          <v:shape id="_x0000_s1029" type="#_x0000_t202" style="position:absolute;left:0;text-align:left;margin-left:90.55pt;margin-top:-36.05pt;width:160.15pt;height:53.8pt;z-index:251658240" filled="f" stroked="f">
            <v:textbox style="mso-next-textbox:#_x0000_s1029">
              <w:txbxContent>
                <w:p w:rsidR="00625FB5" w:rsidRPr="00625FB5" w:rsidRDefault="00625FB5" w:rsidP="00625FB5">
                  <w:pPr>
                    <w:pStyle w:val="Heading1"/>
                    <w:numPr>
                      <w:ilvl w:val="0"/>
                      <w:numId w:val="0"/>
                    </w:numPr>
                    <w:rPr>
                      <w:bCs/>
                      <w:sz w:val="16"/>
                      <w:szCs w:val="16"/>
                    </w:rPr>
                  </w:pPr>
                  <w:r w:rsidRPr="00625FB5">
                    <w:rPr>
                      <w:bCs/>
                      <w:sz w:val="16"/>
                      <w:szCs w:val="16"/>
                    </w:rPr>
                    <w:t>LIGO LABORATORY</w:t>
                  </w:r>
                </w:p>
                <w:p w:rsidR="00625FB5" w:rsidRDefault="00625FB5" w:rsidP="00625FB5">
                  <w:pPr>
                    <w:rPr>
                      <w:sz w:val="16"/>
                      <w:szCs w:val="16"/>
                    </w:rPr>
                  </w:pPr>
                  <w:r w:rsidRPr="00A11B04">
                    <w:rPr>
                      <w:sz w:val="16"/>
                      <w:szCs w:val="16"/>
                    </w:rPr>
                    <w:t>California Institute of Technology</w:t>
                  </w:r>
                </w:p>
                <w:p w:rsidR="00625FB5" w:rsidRPr="00A11B04" w:rsidRDefault="00625FB5" w:rsidP="00625FB5">
                  <w:pPr>
                    <w:rPr>
                      <w:sz w:val="14"/>
                      <w:szCs w:val="14"/>
                    </w:rPr>
                  </w:pPr>
                  <w:smartTag w:uri="urn:schemas-microsoft-com:office:smarttags" w:element="Street">
                    <w:smartTag w:uri="urn:schemas-microsoft-com:office:smarttags" w:element="address">
                      <w:r w:rsidRPr="00A11B04">
                        <w:rPr>
                          <w:sz w:val="14"/>
                          <w:szCs w:val="14"/>
                        </w:rPr>
                        <w:t>1200 E. California Blvd.</w:t>
                      </w:r>
                    </w:smartTag>
                  </w:smartTag>
                </w:p>
                <w:p w:rsidR="0086580F" w:rsidRDefault="00625FB5"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rsidR="0086580F" w:rsidRPr="00A11B04" w:rsidRDefault="0086580F" w:rsidP="00625FB5">
                  <w:pPr>
                    <w:rPr>
                      <w:sz w:val="14"/>
                      <w:szCs w:val="14"/>
                    </w:rPr>
                  </w:pPr>
                </w:p>
              </w:txbxContent>
            </v:textbox>
          </v:shape>
        </w:pict>
      </w:r>
      <w:r w:rsidR="00FD4491">
        <w:rPr>
          <w:b/>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-552450</wp:posOffset>
            </wp:positionV>
            <wp:extent cx="1149985" cy="777875"/>
            <wp:effectExtent l="19050" t="0" r="0" b="0"/>
            <wp:wrapNone/>
            <wp:docPr id="4"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8" cstate="print"/>
                    <a:srcRect/>
                    <a:stretch>
                      <a:fillRect/>
                    </a:stretch>
                  </pic:blipFill>
                  <pic:spPr bwMode="auto">
                    <a:xfrm>
                      <a:off x="0" y="0"/>
                      <a:ext cx="1149985" cy="777875"/>
                    </a:xfrm>
                    <a:prstGeom prst="rect">
                      <a:avLst/>
                    </a:prstGeom>
                    <a:noFill/>
                    <a:ln w="9525">
                      <a:noFill/>
                      <a:miter lim="800000"/>
                      <a:headEnd/>
                      <a:tailEnd/>
                    </a:ln>
                  </pic:spPr>
                </pic:pic>
              </a:graphicData>
            </a:graphic>
          </wp:anchor>
        </w:drawing>
      </w:r>
    </w:p>
    <w:p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rsidR="00F42BB8" w:rsidRPr="00612E9D" w:rsidRDefault="00F42BB8" w:rsidP="003A3F70">
      <w:pPr>
        <w:tabs>
          <w:tab w:val="center" w:pos="4680"/>
          <w:tab w:val="left" w:pos="6491"/>
        </w:tabs>
        <w:jc w:val="center"/>
        <w:rPr>
          <w:rFonts w:cs="Calibri"/>
          <w:b/>
          <w:sz w:val="36"/>
          <w:szCs w:val="36"/>
        </w:rPr>
      </w:pPr>
      <w:r w:rsidRPr="00612E9D">
        <w:rPr>
          <w:rFonts w:cs="Calibri"/>
          <w:b/>
          <w:sz w:val="36"/>
          <w:szCs w:val="36"/>
        </w:rPr>
        <w:t>Statement of Work</w:t>
      </w:r>
    </w:p>
    <w:p w:rsidR="003A3F70" w:rsidRPr="00612E9D" w:rsidRDefault="00AA3497" w:rsidP="003A3F70">
      <w:pPr>
        <w:tabs>
          <w:tab w:val="center" w:pos="4680"/>
          <w:tab w:val="left" w:pos="6491"/>
        </w:tabs>
        <w:jc w:val="center"/>
        <w:rPr>
          <w:rFonts w:cs="Calibri"/>
          <w:b/>
          <w:sz w:val="28"/>
          <w:szCs w:val="28"/>
        </w:rPr>
      </w:pPr>
      <w:r>
        <w:rPr>
          <w:rFonts w:cs="Calibri"/>
          <w:b/>
          <w:sz w:val="28"/>
          <w:szCs w:val="28"/>
        </w:rPr>
        <w:t>C-</w:t>
      </w:r>
      <w:r w:rsidR="00B909A2">
        <w:rPr>
          <w:rFonts w:cs="Calibri"/>
          <w:b/>
          <w:sz w:val="28"/>
          <w:szCs w:val="28"/>
        </w:rPr>
        <w:t>120</w:t>
      </w:r>
      <w:r w:rsidR="009E7FE2">
        <w:rPr>
          <w:rFonts w:cs="Calibri"/>
          <w:b/>
          <w:sz w:val="28"/>
          <w:szCs w:val="28"/>
        </w:rPr>
        <w:t>2755</w:t>
      </w:r>
      <w:r w:rsidR="003A3F70" w:rsidRPr="00612E9D">
        <w:rPr>
          <w:rFonts w:cs="Calibri"/>
          <w:b/>
          <w:sz w:val="28"/>
          <w:szCs w:val="28"/>
        </w:rPr>
        <w:t>-v</w:t>
      </w:r>
      <w:r w:rsidR="009E7FE2">
        <w:rPr>
          <w:rFonts w:cs="Calibri"/>
          <w:b/>
          <w:sz w:val="28"/>
          <w:szCs w:val="28"/>
        </w:rPr>
        <w:t>1</w:t>
      </w:r>
      <w:r w:rsidR="003A3F70" w:rsidRPr="00612E9D">
        <w:rPr>
          <w:rFonts w:cs="Calibri"/>
          <w:b/>
          <w:sz w:val="28"/>
          <w:szCs w:val="28"/>
        </w:rPr>
        <w:t xml:space="preserve"> </w:t>
      </w:r>
    </w:p>
    <w:p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rsidR="00EA4DFF" w:rsidRPr="00612E9D" w:rsidRDefault="00EA4DFF" w:rsidP="001E5064">
      <w:pPr>
        <w:rPr>
          <w:rFonts w:cs="Calibri"/>
          <w:sz w:val="24"/>
          <w:szCs w:val="24"/>
        </w:rPr>
      </w:pPr>
    </w:p>
    <w:p w:rsidR="001E0051" w:rsidRDefault="0086580F" w:rsidP="001E0051">
      <w:pPr>
        <w:numPr>
          <w:ilvl w:val="0"/>
          <w:numId w:val="13"/>
        </w:numPr>
        <w:rPr>
          <w:rFonts w:cs="Calibri"/>
          <w:b/>
        </w:rPr>
      </w:pPr>
      <w:r w:rsidRPr="00612E9D">
        <w:rPr>
          <w:rFonts w:cs="Calibri"/>
          <w:b/>
          <w:sz w:val="28"/>
          <w:szCs w:val="28"/>
        </w:rPr>
        <w:t xml:space="preserve">Scope (LIGO </w:t>
      </w:r>
      <w:r w:rsidR="007C6CF9">
        <w:rPr>
          <w:rFonts w:cs="Calibri"/>
          <w:b/>
          <w:sz w:val="28"/>
          <w:szCs w:val="28"/>
        </w:rPr>
        <w:t>Optical Levers</w:t>
      </w:r>
      <w:r w:rsidRPr="00612E9D">
        <w:rPr>
          <w:rFonts w:cs="Calibri"/>
          <w:b/>
          <w:sz w:val="28"/>
          <w:szCs w:val="28"/>
        </w:rPr>
        <w:t>)</w:t>
      </w:r>
    </w:p>
    <w:p w:rsidR="001E0051" w:rsidRPr="001E0051" w:rsidRDefault="001E0051" w:rsidP="001E0051">
      <w:pPr>
        <w:ind w:left="435"/>
        <w:rPr>
          <w:rFonts w:cs="Calibri"/>
          <w:b/>
        </w:rPr>
      </w:pPr>
    </w:p>
    <w:p w:rsidR="001E5064" w:rsidRPr="00612E9D" w:rsidRDefault="001E0051" w:rsidP="0086580F">
      <w:pPr>
        <w:rPr>
          <w:rFonts w:cs="Calibri"/>
        </w:rPr>
      </w:pPr>
      <w:r>
        <w:rPr>
          <w:rFonts w:cs="Calibri"/>
        </w:rPr>
        <w:t xml:space="preserve">This Statement of Work is for the fabrication of sheet metal enclosures for the ITM, ETM, PR3, and SR3 Optical Lever Pylon </w:t>
      </w:r>
      <w:r w:rsidR="009E7FE2">
        <w:rPr>
          <w:rFonts w:cs="Calibri"/>
        </w:rPr>
        <w:t>transmitter</w:t>
      </w:r>
      <w:r>
        <w:rPr>
          <w:rFonts w:cs="Calibri"/>
        </w:rPr>
        <w:t xml:space="preserve"> pylons</w:t>
      </w:r>
      <w:r w:rsidR="009E7FE2">
        <w:rPr>
          <w:rFonts w:cs="Calibri"/>
        </w:rPr>
        <w:t xml:space="preserve"> as well as the HAM table and Beam Splitter optical lever transceivers</w:t>
      </w:r>
      <w:r>
        <w:rPr>
          <w:rFonts w:cs="Calibri"/>
        </w:rPr>
        <w:t xml:space="preserve">. These enclosures will bolt to the </w:t>
      </w:r>
      <w:r w:rsidR="009E7FE2">
        <w:rPr>
          <w:rFonts w:cs="Calibri"/>
        </w:rPr>
        <w:t>optical lever</w:t>
      </w:r>
      <w:r>
        <w:rPr>
          <w:rFonts w:cs="Calibri"/>
        </w:rPr>
        <w:t xml:space="preserve"> mount</w:t>
      </w:r>
      <w:r w:rsidR="009E7FE2">
        <w:rPr>
          <w:rFonts w:cs="Calibri"/>
        </w:rPr>
        <w:t>ing plates</w:t>
      </w:r>
      <w:r>
        <w:rPr>
          <w:rFonts w:cs="Calibri"/>
        </w:rPr>
        <w:t xml:space="preserve"> on the </w:t>
      </w:r>
      <w:r w:rsidR="009E7FE2">
        <w:rPr>
          <w:rFonts w:cs="Calibri"/>
        </w:rPr>
        <w:t xml:space="preserve">top of the </w:t>
      </w:r>
      <w:r>
        <w:rPr>
          <w:rFonts w:cs="Calibri"/>
        </w:rPr>
        <w:t xml:space="preserve">pylons </w:t>
      </w:r>
      <w:r w:rsidR="009E7FE2">
        <w:rPr>
          <w:rFonts w:cs="Calibri"/>
        </w:rPr>
        <w:t xml:space="preserve">or on the platforms in the case of the beam splitter optical levers. These enclosures isolate </w:t>
      </w:r>
      <w:r>
        <w:rPr>
          <w:rFonts w:cs="Calibri"/>
        </w:rPr>
        <w:t>and protect the mechanisms and electronics contained inside.</w:t>
      </w:r>
    </w:p>
    <w:p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rsidR="0086580F" w:rsidRPr="00612E9D" w:rsidRDefault="0086580F" w:rsidP="0086580F">
      <w:pPr>
        <w:ind w:left="435"/>
        <w:rPr>
          <w:rFonts w:cs="Calibri"/>
          <w:b/>
        </w:rPr>
      </w:pPr>
    </w:p>
    <w:p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rsidR="00692083" w:rsidRPr="00692083" w:rsidRDefault="00692083" w:rsidP="001E5064">
      <w:pPr>
        <w:rPr>
          <w:rFonts w:cs="Calibri"/>
        </w:rPr>
      </w:pPr>
      <w:r w:rsidRPr="006964BB">
        <w:rPr>
          <w:rFonts w:cs="Calibri"/>
        </w:rPr>
        <w:t>Many supplemental documents</w:t>
      </w:r>
      <w:r w:rsidR="00EA4DFF" w:rsidRPr="006964BB">
        <w:rPr>
          <w:rFonts w:cs="Calibri"/>
        </w:rPr>
        <w:t xml:space="preserve"> and specifications</w:t>
      </w:r>
      <w:r w:rsidRPr="006964BB">
        <w:rPr>
          <w:rFonts w:cs="Calibri"/>
        </w:rPr>
        <w:t xml:space="preserve"> are incorporated into and made a part this Statement of Work</w:t>
      </w:r>
      <w:r w:rsidR="0001519E">
        <w:rPr>
          <w:rFonts w:cs="Calibri"/>
        </w:rPr>
        <w:t xml:space="preserve">. </w:t>
      </w:r>
      <w:r w:rsidRPr="006964BB">
        <w:rPr>
          <w:rFonts w:cs="Calibri"/>
        </w:rPr>
        <w:t xml:space="preserve"> Click on the document links to access these documents from the LIGO Document Control Center (DCC) or go on line to the LIGO Public DCC</w:t>
      </w:r>
      <w:r w:rsidRPr="00692083">
        <w:rPr>
          <w:rFonts w:cs="Calibri"/>
        </w:rPr>
        <w:t xml:space="preserve"> at </w:t>
      </w:r>
      <w:hyperlink r:id="rId9" w:history="1">
        <w:r w:rsidRPr="00692083">
          <w:rPr>
            <w:rStyle w:val="Hyperlink"/>
            <w:rFonts w:cs="Calibri"/>
          </w:rPr>
          <w:t>https://dcc.ligo.org/</w:t>
        </w:r>
      </w:hyperlink>
      <w:r w:rsidRPr="00692083">
        <w:rPr>
          <w:rFonts w:cs="Calibri"/>
        </w:rPr>
        <w:t xml:space="preserve"> to access the DCC#.</w:t>
      </w:r>
      <w:r w:rsidR="008B3ACB">
        <w:rPr>
          <w:rFonts w:cs="Calibri"/>
        </w:rPr>
        <w:t xml:space="preserve">  </w:t>
      </w:r>
    </w:p>
    <w:p w:rsidR="00692083" w:rsidRPr="00612E9D" w:rsidRDefault="00692083" w:rsidP="00692083">
      <w:pPr>
        <w:ind w:left="435"/>
        <w:rPr>
          <w:rFonts w:cs="Calibri"/>
          <w:sz w:val="24"/>
          <w:szCs w:val="24"/>
        </w:rPr>
      </w:pPr>
    </w:p>
    <w:p w:rsidR="00625FB5" w:rsidRPr="00612E9D" w:rsidRDefault="009F55EB" w:rsidP="006964BB">
      <w:pPr>
        <w:numPr>
          <w:ilvl w:val="0"/>
          <w:numId w:val="13"/>
        </w:numPr>
        <w:rPr>
          <w:rFonts w:cs="Calibri"/>
        </w:rPr>
      </w:pPr>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r w:rsidRPr="00612E9D">
        <w:rPr>
          <w:rFonts w:cs="Calibri"/>
        </w:rPr>
        <w:t xml:space="preserve"> </w:t>
      </w:r>
    </w:p>
    <w:p w:rsidR="0001519E" w:rsidRDefault="0001519E" w:rsidP="00F42BB8">
      <w:pPr>
        <w:rPr>
          <w:rFonts w:cs="Calibri"/>
          <w:b/>
          <w:sz w:val="24"/>
          <w:szCs w:val="24"/>
        </w:rPr>
      </w:pPr>
    </w:p>
    <w:p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rsidR="00422322" w:rsidRPr="00612E9D" w:rsidRDefault="00422322" w:rsidP="00F42BB8">
      <w:pPr>
        <w:rPr>
          <w:rFonts w:cs="Calibri"/>
          <w:vanish/>
          <w:color w:val="FF0000"/>
        </w:rPr>
      </w:pPr>
    </w:p>
    <w:p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rsidR="009F55EB" w:rsidRPr="000F4395" w:rsidRDefault="007675AF" w:rsidP="000F4395">
      <w:pPr>
        <w:numPr>
          <w:ilvl w:val="0"/>
          <w:numId w:val="24"/>
        </w:numPr>
        <w:rPr>
          <w:rFonts w:cs="Calibri"/>
        </w:rPr>
      </w:pPr>
      <w:hyperlink r:id="rId10" w:tooltip="LIGO-C080185-v1" w:history="1">
        <w:r w:rsidR="00193DA0">
          <w:rPr>
            <w:rStyle w:val="Hyperlink"/>
          </w:rPr>
          <w:t>LIGO-C080185-v1</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rsidR="009F55EB" w:rsidRDefault="007675AF" w:rsidP="000F4395">
      <w:pPr>
        <w:numPr>
          <w:ilvl w:val="0"/>
          <w:numId w:val="24"/>
        </w:numPr>
        <w:rPr>
          <w:rFonts w:cs="Calibri"/>
        </w:rPr>
      </w:pPr>
      <w:hyperlink r:id="rId11" w:history="1">
        <w:r w:rsidR="00747E2E" w:rsidRPr="00747E2E">
          <w:rPr>
            <w:rStyle w:val="Hyperlink"/>
            <w:rFonts w:cs="Calibri"/>
          </w:rPr>
          <w:t>LIGO-</w:t>
        </w:r>
        <w:r w:rsidR="009F55EB" w:rsidRPr="00747E2E">
          <w:rPr>
            <w:rStyle w:val="Hyperlink"/>
            <w:rFonts w:cs="Calibri"/>
          </w:rPr>
          <w:t>Q0900001-v5</w:t>
        </w:r>
      </w:hyperlink>
      <w:r w:rsidR="009F55EB" w:rsidRPr="00612E9D">
        <w:rPr>
          <w:rFonts w:cs="Calibri"/>
        </w:rPr>
        <w:t xml:space="preserve"> </w:t>
      </w:r>
      <w:r w:rsidR="00523332" w:rsidRPr="00612E9D">
        <w:rPr>
          <w:rFonts w:cs="Calibri"/>
        </w:rPr>
        <w:tab/>
      </w:r>
      <w:r w:rsidR="009F55EB" w:rsidRPr="00612E9D">
        <w:rPr>
          <w:rFonts w:cs="Calibri"/>
        </w:rPr>
        <w:t>Advanced LIGO Supplier Quality Requirements</w:t>
      </w:r>
    </w:p>
    <w:p w:rsidR="00BF6B84" w:rsidRPr="00612E9D" w:rsidRDefault="007675AF" w:rsidP="000F4395">
      <w:pPr>
        <w:numPr>
          <w:ilvl w:val="0"/>
          <w:numId w:val="24"/>
        </w:numPr>
        <w:rPr>
          <w:rFonts w:cs="Calibri"/>
        </w:rPr>
      </w:pPr>
      <w:hyperlink r:id="rId12" w:tooltip="LIGO-Q1100003-v1" w:history="1">
        <w:r w:rsidR="00193DA0">
          <w:rPr>
            <w:rStyle w:val="Hyperlink"/>
          </w:rPr>
          <w:t>LIGO-Q1100003-v1</w:t>
        </w:r>
      </w:hyperlink>
      <w:r w:rsidR="00BF6B84">
        <w:rPr>
          <w:rFonts w:cs="Calibri"/>
        </w:rPr>
        <w:tab/>
      </w:r>
      <w:r w:rsidR="00BF6B84" w:rsidRPr="000163B8">
        <w:rPr>
          <w:rFonts w:cs="Calibri"/>
        </w:rPr>
        <w:t>Acceptable Quality Level (AQL) for Inspection of LIGO Components</w:t>
      </w:r>
    </w:p>
    <w:p w:rsidR="009E551E" w:rsidRPr="00612E9D" w:rsidRDefault="009E551E" w:rsidP="00F42BB8">
      <w:pPr>
        <w:rPr>
          <w:rFonts w:cs="Calibri"/>
        </w:rPr>
      </w:pPr>
    </w:p>
    <w:p w:rsidR="00CC7F68" w:rsidRPr="006964BB" w:rsidRDefault="00F42BB8" w:rsidP="006964BB">
      <w:pPr>
        <w:numPr>
          <w:ilvl w:val="0"/>
          <w:numId w:val="13"/>
        </w:numPr>
        <w:spacing w:after="80"/>
        <w:ind w:left="432" w:hanging="432"/>
        <w:rPr>
          <w:rFonts w:cs="Calibri"/>
        </w:rPr>
      </w:pPr>
      <w:r w:rsidRPr="006964BB">
        <w:rPr>
          <w:rFonts w:cs="Calibri"/>
          <w:b/>
          <w:sz w:val="28"/>
          <w:szCs w:val="28"/>
        </w:rPr>
        <w:t xml:space="preserve">Quality </w:t>
      </w:r>
      <w:r w:rsidR="00CC7F68" w:rsidRPr="006964BB">
        <w:rPr>
          <w:rFonts w:cs="Calibri"/>
          <w:b/>
          <w:sz w:val="28"/>
          <w:szCs w:val="28"/>
        </w:rPr>
        <w:t>System</w:t>
      </w:r>
      <w:r w:rsidR="006964BB" w:rsidRPr="006964BB">
        <w:rPr>
          <w:rFonts w:cs="Calibri"/>
          <w:b/>
          <w:sz w:val="28"/>
          <w:szCs w:val="28"/>
        </w:rPr>
        <w:t>:</w:t>
      </w:r>
    </w:p>
    <w:p w:rsidR="00CC7F68" w:rsidRDefault="00CC7F68" w:rsidP="008963C6">
      <w:pPr>
        <w:rPr>
          <w:rFonts w:cs="Calibri"/>
        </w:rPr>
      </w:pPr>
      <w:r>
        <w:rPr>
          <w:rFonts w:cs="Calibri"/>
        </w:rPr>
        <w:t xml:space="preserve">Referring to </w:t>
      </w:r>
      <w:r w:rsidR="0062072C">
        <w:rPr>
          <w:rFonts w:cs="Calibri"/>
        </w:rPr>
        <w:t xml:space="preserve">the above referenced </w:t>
      </w:r>
      <w:r>
        <w:rPr>
          <w:rFonts w:cs="Calibri"/>
        </w:rPr>
        <w:t>LIGO Specification Q0900001</w:t>
      </w:r>
      <w:r w:rsidR="00BF6CE8">
        <w:rPr>
          <w:rFonts w:cs="Calibri"/>
        </w:rPr>
        <w:t xml:space="preserve">, </w:t>
      </w:r>
      <w:r>
        <w:rPr>
          <w:rFonts w:cs="Calibri"/>
        </w:rPr>
        <w:t>Suppliers should include a copy of their current ISO</w:t>
      </w:r>
      <w:r w:rsidR="00D15427">
        <w:rPr>
          <w:rFonts w:cs="Calibri"/>
        </w:rPr>
        <w:t xml:space="preserve"> </w:t>
      </w:r>
      <w:r>
        <w:rPr>
          <w:rFonts w:cs="Calibri"/>
        </w:rPr>
        <w:t xml:space="preserve">9001, AS9100, or TS16949 certification in their bid package.  Suppliers lacking current certification should send a copy of their Quality Manual with their bid package.  </w:t>
      </w:r>
    </w:p>
    <w:p w:rsidR="0001519E" w:rsidRDefault="0001519E" w:rsidP="0001519E">
      <w:pPr>
        <w:rPr>
          <w:rFonts w:cs="Calibri"/>
          <w:b/>
          <w:sz w:val="28"/>
          <w:szCs w:val="28"/>
        </w:rPr>
      </w:pPr>
    </w:p>
    <w:p w:rsidR="00AD3724" w:rsidRPr="006964BB" w:rsidRDefault="00AD3724" w:rsidP="009243C4">
      <w:pPr>
        <w:numPr>
          <w:ilvl w:val="0"/>
          <w:numId w:val="13"/>
        </w:numPr>
        <w:rPr>
          <w:rFonts w:cs="Calibri"/>
          <w:b/>
          <w:sz w:val="28"/>
          <w:szCs w:val="28"/>
        </w:rPr>
      </w:pPr>
      <w:r w:rsidRPr="006964BB">
        <w:rPr>
          <w:rFonts w:cs="Calibri"/>
          <w:b/>
          <w:sz w:val="28"/>
          <w:szCs w:val="28"/>
        </w:rPr>
        <w:t>Parts/Assemblies to be manufactured</w:t>
      </w:r>
      <w:r w:rsidR="00313033" w:rsidRPr="006964BB">
        <w:rPr>
          <w:rFonts w:cs="Calibri"/>
          <w:b/>
          <w:sz w:val="28"/>
          <w:szCs w:val="28"/>
        </w:rPr>
        <w:t xml:space="preserve">, </w:t>
      </w:r>
      <w:r w:rsidR="00FB1D85" w:rsidRPr="006964BB">
        <w:rPr>
          <w:rFonts w:cs="Calibri"/>
          <w:b/>
          <w:sz w:val="28"/>
          <w:szCs w:val="28"/>
        </w:rPr>
        <w:t>Quantity Required</w:t>
      </w:r>
      <w:r w:rsidR="00313033" w:rsidRPr="006964BB">
        <w:rPr>
          <w:rFonts w:cs="Calibri"/>
          <w:b/>
          <w:sz w:val="28"/>
          <w:szCs w:val="28"/>
        </w:rPr>
        <w:t xml:space="preserve">, and </w:t>
      </w:r>
      <w:r w:rsidR="00BF6CE8">
        <w:rPr>
          <w:rFonts w:cs="Calibri"/>
          <w:b/>
          <w:sz w:val="28"/>
          <w:szCs w:val="28"/>
        </w:rPr>
        <w:t>Inspection requirements</w:t>
      </w:r>
      <w:r w:rsidR="00A22EB4" w:rsidRPr="006964BB">
        <w:rPr>
          <w:rFonts w:cs="Calibri"/>
          <w:b/>
          <w:sz w:val="28"/>
          <w:szCs w:val="28"/>
        </w:rPr>
        <w:t>:</w:t>
      </w:r>
    </w:p>
    <w:p w:rsidR="00A22EB4" w:rsidRPr="00612E9D" w:rsidRDefault="00A22EB4" w:rsidP="00AD3724">
      <w:pPr>
        <w:rPr>
          <w:rFonts w:cs="Calibri"/>
          <w:color w:val="000000"/>
          <w:sz w:val="24"/>
        </w:rPr>
      </w:pPr>
      <w:r w:rsidRPr="006964BB">
        <w:rPr>
          <w:rFonts w:cs="Calibri"/>
          <w:color w:val="000000"/>
          <w:sz w:val="24"/>
        </w:rPr>
        <w:t xml:space="preserve">Note: refer to Section </w:t>
      </w:r>
      <w:r w:rsidR="009B3159" w:rsidRPr="009B3159">
        <w:rPr>
          <w:rFonts w:cs="Calibri"/>
          <w:color w:val="000000"/>
          <w:sz w:val="24"/>
        </w:rPr>
        <w:t>8</w:t>
      </w:r>
      <w:r w:rsidRPr="009B3159">
        <w:rPr>
          <w:rFonts w:cs="Calibri"/>
          <w:color w:val="000000"/>
          <w:sz w:val="24"/>
        </w:rPr>
        <w:t>.0</w:t>
      </w:r>
      <w:r w:rsidRPr="006964BB">
        <w:rPr>
          <w:rFonts w:cs="Calibri"/>
          <w:color w:val="000000"/>
          <w:sz w:val="24"/>
        </w:rPr>
        <w:t xml:space="preserve"> for delivery schedule</w:t>
      </w:r>
      <w:r w:rsidR="004015B7" w:rsidRPr="006964BB">
        <w:rPr>
          <w:rFonts w:cs="Calibri"/>
          <w:color w:val="000000"/>
          <w:sz w:val="24"/>
        </w:rPr>
        <w:t xml:space="preserve"> and location</w:t>
      </w:r>
    </w:p>
    <w:p w:rsidR="00FB1D85" w:rsidRPr="00612E9D" w:rsidRDefault="00AD3724" w:rsidP="00AD3724">
      <w:pPr>
        <w:rPr>
          <w:rFonts w:cs="Calibri"/>
          <w:b/>
          <w:sz w:val="28"/>
          <w:szCs w:val="28"/>
        </w:rPr>
      </w:pPr>
      <w:r w:rsidRPr="00612E9D">
        <w:rPr>
          <w:rFonts w:cs="Calibri"/>
          <w:vanish/>
          <w:color w:val="FF0000"/>
        </w:rPr>
        <w:t xml:space="preserve">List all parts to be made, including the </w:t>
      </w:r>
      <w:r w:rsidRPr="00612E9D">
        <w:rPr>
          <w:rFonts w:cs="Calibri"/>
          <w:b/>
          <w:vanish/>
          <w:color w:val="FF0000"/>
        </w:rPr>
        <w:t>public</w:t>
      </w:r>
      <w:r w:rsidRPr="00612E9D">
        <w:rPr>
          <w:rFonts w:cs="Calibri"/>
          <w:vanish/>
          <w:color w:val="FF0000"/>
        </w:rPr>
        <w:t xml:space="preserve"> hyperlink to the latest revision, and the total quantity required.  </w:t>
      </w:r>
      <w:r w:rsidR="00964ABD" w:rsidRPr="00612E9D">
        <w:rPr>
          <w:rFonts w:cs="Calibri"/>
          <w:vanish/>
          <w:color w:val="FF0000"/>
        </w:rPr>
        <w:t>If you have more than ten parts, create a separate drawing document post</w:t>
      </w:r>
      <w:r w:rsidR="0074065F">
        <w:rPr>
          <w:rFonts w:cs="Calibri"/>
          <w:vanish/>
          <w:color w:val="FF0000"/>
        </w:rPr>
        <w:t>ed</w:t>
      </w:r>
      <w:r w:rsidR="00964ABD" w:rsidRPr="00612E9D">
        <w:rPr>
          <w:rFonts w:cs="Calibri"/>
          <w:vanish/>
          <w:color w:val="FF0000"/>
        </w:rPr>
        <w:t xml:space="preserve"> to </w:t>
      </w:r>
      <w:r w:rsidR="0074065F">
        <w:rPr>
          <w:rFonts w:cs="Calibri"/>
          <w:vanish/>
          <w:color w:val="FF0000"/>
        </w:rPr>
        <w:t xml:space="preserve">the </w:t>
      </w:r>
      <w:r w:rsidR="00964ABD" w:rsidRPr="00612E9D">
        <w:rPr>
          <w:rFonts w:cs="Calibri"/>
          <w:vanish/>
          <w:color w:val="FF0000"/>
        </w:rPr>
        <w:t>DCC as a public document, and link here.</w:t>
      </w:r>
      <w:r w:rsidRPr="00612E9D">
        <w:rPr>
          <w:rFonts w:cs="Calibri"/>
          <w:vanish/>
          <w:color w:val="FF0000"/>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585"/>
        <w:gridCol w:w="3362"/>
        <w:gridCol w:w="1648"/>
        <w:gridCol w:w="2340"/>
      </w:tblGrid>
      <w:tr w:rsidR="0074065F" w:rsidRPr="00612E9D" w:rsidTr="00313033">
        <w:trPr>
          <w:trHeight w:val="293"/>
        </w:trPr>
        <w:tc>
          <w:tcPr>
            <w:tcW w:w="1585" w:type="dxa"/>
            <w:vAlign w:val="center"/>
          </w:tcPr>
          <w:p w:rsidR="0074065F" w:rsidRPr="009C2E45" w:rsidRDefault="0074065F" w:rsidP="00012EA8">
            <w:pPr>
              <w:rPr>
                <w:rFonts w:cs="Calibri"/>
                <w:b/>
              </w:rPr>
            </w:pPr>
            <w:r w:rsidRPr="009C2E45">
              <w:rPr>
                <w:rFonts w:cs="Calibri"/>
                <w:b/>
              </w:rPr>
              <w:t>Drawing #</w:t>
            </w:r>
          </w:p>
        </w:tc>
        <w:tc>
          <w:tcPr>
            <w:tcW w:w="3362" w:type="dxa"/>
            <w:vAlign w:val="center"/>
          </w:tcPr>
          <w:p w:rsidR="0074065F" w:rsidRPr="009C2E45" w:rsidRDefault="0074065F" w:rsidP="00012EA8">
            <w:pPr>
              <w:rPr>
                <w:rFonts w:cs="Calibri"/>
                <w:b/>
              </w:rPr>
            </w:pPr>
            <w:r w:rsidRPr="009C2E45">
              <w:rPr>
                <w:rFonts w:cs="Calibri"/>
                <w:b/>
              </w:rPr>
              <w:t>Part Description</w:t>
            </w:r>
          </w:p>
        </w:tc>
        <w:tc>
          <w:tcPr>
            <w:tcW w:w="1648" w:type="dxa"/>
          </w:tcPr>
          <w:p w:rsidR="0074065F" w:rsidRPr="009C2E45" w:rsidRDefault="0074065F" w:rsidP="00F83252">
            <w:pPr>
              <w:rPr>
                <w:rFonts w:cs="Calibri"/>
                <w:b/>
              </w:rPr>
            </w:pPr>
            <w:r w:rsidRPr="009C2E45">
              <w:rPr>
                <w:rFonts w:cs="Calibri"/>
                <w:b/>
              </w:rPr>
              <w:t>Total Qty:</w:t>
            </w:r>
          </w:p>
        </w:tc>
        <w:tc>
          <w:tcPr>
            <w:tcW w:w="2340" w:type="dxa"/>
          </w:tcPr>
          <w:p w:rsidR="0074065F" w:rsidRPr="009C2E45" w:rsidRDefault="00313033" w:rsidP="00F83252">
            <w:pPr>
              <w:rPr>
                <w:rFonts w:cs="Calibri"/>
                <w:b/>
              </w:rPr>
            </w:pPr>
            <w:r w:rsidRPr="009C2E45">
              <w:rPr>
                <w:rFonts w:cs="Calibri"/>
                <w:b/>
              </w:rPr>
              <w:t>AQL number</w:t>
            </w:r>
          </w:p>
          <w:p w:rsidR="00313033" w:rsidRPr="009C2E45" w:rsidRDefault="00313033" w:rsidP="00F83252">
            <w:pPr>
              <w:rPr>
                <w:rFonts w:cs="Calibri"/>
                <w:b/>
              </w:rPr>
            </w:pPr>
            <w:r w:rsidRPr="009C2E45">
              <w:rPr>
                <w:rFonts w:cs="Calibri"/>
                <w:b/>
              </w:rPr>
              <w:t>(Inspection Frequency)</w:t>
            </w:r>
          </w:p>
        </w:tc>
      </w:tr>
      <w:tr w:rsidR="0074065F" w:rsidRPr="00612E9D" w:rsidTr="00313033">
        <w:trPr>
          <w:trHeight w:val="293"/>
        </w:trPr>
        <w:tc>
          <w:tcPr>
            <w:tcW w:w="1585" w:type="dxa"/>
            <w:vAlign w:val="center"/>
          </w:tcPr>
          <w:p w:rsidR="0074065F" w:rsidRPr="004D247F" w:rsidRDefault="007675AF" w:rsidP="009E7FE2">
            <w:pPr>
              <w:rPr>
                <w:rFonts w:cs="Calibri"/>
              </w:rPr>
            </w:pPr>
            <w:hyperlink r:id="rId13" w:history="1">
              <w:r w:rsidR="009C2E45" w:rsidRPr="004D247F">
                <w:rPr>
                  <w:rStyle w:val="Hyperlink"/>
                </w:rPr>
                <w:t>LIGO-</w:t>
              </w:r>
              <w:r w:rsidR="00B909A2" w:rsidRPr="004D247F">
                <w:rPr>
                  <w:rStyle w:val="Hyperlink"/>
                </w:rPr>
                <w:t>D</w:t>
              </w:r>
              <w:r w:rsidR="009E7FE2" w:rsidRPr="004D247F">
                <w:rPr>
                  <w:rStyle w:val="Hyperlink"/>
                </w:rPr>
                <w:t>1200463</w:t>
              </w:r>
              <w:r w:rsidR="00B909A2" w:rsidRPr="004D247F">
                <w:rPr>
                  <w:rStyle w:val="Hyperlink"/>
                </w:rPr>
                <w:t>-v</w:t>
              </w:r>
              <w:r w:rsidR="009E7FE2" w:rsidRPr="004D247F">
                <w:rPr>
                  <w:rStyle w:val="Hyperlink"/>
                </w:rPr>
                <w:t>1</w:t>
              </w:r>
            </w:hyperlink>
          </w:p>
        </w:tc>
        <w:tc>
          <w:tcPr>
            <w:tcW w:w="3362" w:type="dxa"/>
            <w:vAlign w:val="center"/>
          </w:tcPr>
          <w:p w:rsidR="0074065F" w:rsidRPr="009E7FE2" w:rsidRDefault="009E7FE2" w:rsidP="00F54A67">
            <w:pPr>
              <w:pStyle w:val="Heading1"/>
              <w:numPr>
                <w:ilvl w:val="0"/>
                <w:numId w:val="0"/>
              </w:numPr>
              <w:ind w:left="35"/>
              <w:rPr>
                <w:rFonts w:asciiTheme="minorHAnsi" w:hAnsiTheme="minorHAnsi" w:cstheme="minorHAnsi"/>
                <w:b w:val="0"/>
                <w:sz w:val="22"/>
                <w:szCs w:val="22"/>
              </w:rPr>
            </w:pPr>
            <w:proofErr w:type="spellStart"/>
            <w:r>
              <w:rPr>
                <w:rFonts w:asciiTheme="minorHAnsi" w:hAnsiTheme="minorHAnsi" w:cstheme="minorHAnsi"/>
                <w:b w:val="0"/>
                <w:sz w:val="22"/>
                <w:szCs w:val="22"/>
              </w:rPr>
              <w:t>a</w:t>
            </w:r>
            <w:r w:rsidRPr="009E7FE2">
              <w:rPr>
                <w:rFonts w:asciiTheme="minorHAnsi" w:hAnsiTheme="minorHAnsi" w:cstheme="minorHAnsi"/>
                <w:b w:val="0"/>
                <w:sz w:val="22"/>
                <w:szCs w:val="22"/>
              </w:rPr>
              <w:t>LIGO</w:t>
            </w:r>
            <w:proofErr w:type="spellEnd"/>
            <w:r w:rsidRPr="009E7FE2">
              <w:rPr>
                <w:rFonts w:asciiTheme="minorHAnsi" w:hAnsiTheme="minorHAnsi" w:cstheme="minorHAnsi"/>
                <w:b w:val="0"/>
                <w:sz w:val="22"/>
                <w:szCs w:val="22"/>
              </w:rPr>
              <w:t xml:space="preserve">, AOS, </w:t>
            </w:r>
            <w:proofErr w:type="spellStart"/>
            <w:r w:rsidRPr="009E7FE2">
              <w:rPr>
                <w:rFonts w:asciiTheme="minorHAnsi" w:hAnsiTheme="minorHAnsi" w:cstheme="minorHAnsi"/>
                <w:b w:val="0"/>
                <w:sz w:val="22"/>
                <w:szCs w:val="22"/>
              </w:rPr>
              <w:t>O</w:t>
            </w:r>
            <w:r>
              <w:rPr>
                <w:rFonts w:asciiTheme="minorHAnsi" w:hAnsiTheme="minorHAnsi" w:cstheme="minorHAnsi"/>
                <w:b w:val="0"/>
                <w:sz w:val="22"/>
                <w:szCs w:val="22"/>
              </w:rPr>
              <w:t>p</w:t>
            </w:r>
            <w:r w:rsidRPr="009E7FE2">
              <w:rPr>
                <w:rFonts w:asciiTheme="minorHAnsi" w:hAnsiTheme="minorHAnsi" w:cstheme="minorHAnsi"/>
                <w:b w:val="0"/>
                <w:sz w:val="22"/>
                <w:szCs w:val="22"/>
              </w:rPr>
              <w:t>L</w:t>
            </w:r>
            <w:r>
              <w:rPr>
                <w:rFonts w:asciiTheme="minorHAnsi" w:hAnsiTheme="minorHAnsi" w:cstheme="minorHAnsi"/>
                <w:b w:val="0"/>
                <w:sz w:val="22"/>
                <w:szCs w:val="22"/>
              </w:rPr>
              <w:t>ev</w:t>
            </w:r>
            <w:proofErr w:type="spellEnd"/>
            <w:r w:rsidRPr="009E7FE2">
              <w:rPr>
                <w:rFonts w:asciiTheme="minorHAnsi" w:hAnsiTheme="minorHAnsi" w:cstheme="minorHAnsi"/>
                <w:b w:val="0"/>
                <w:sz w:val="22"/>
                <w:szCs w:val="22"/>
              </w:rPr>
              <w:t xml:space="preserve"> </w:t>
            </w:r>
            <w:proofErr w:type="spellStart"/>
            <w:r w:rsidRPr="009E7FE2">
              <w:rPr>
                <w:rFonts w:asciiTheme="minorHAnsi" w:hAnsiTheme="minorHAnsi" w:cstheme="minorHAnsi"/>
                <w:b w:val="0"/>
                <w:sz w:val="22"/>
                <w:szCs w:val="22"/>
              </w:rPr>
              <w:t>X</w:t>
            </w:r>
            <w:r>
              <w:rPr>
                <w:rFonts w:asciiTheme="minorHAnsi" w:hAnsiTheme="minorHAnsi" w:cstheme="minorHAnsi"/>
                <w:b w:val="0"/>
                <w:sz w:val="22"/>
                <w:szCs w:val="22"/>
              </w:rPr>
              <w:t>cvr</w:t>
            </w:r>
            <w:proofErr w:type="spellEnd"/>
            <w:r w:rsidRPr="009E7FE2">
              <w:rPr>
                <w:rFonts w:asciiTheme="minorHAnsi" w:hAnsiTheme="minorHAnsi" w:cstheme="minorHAnsi"/>
                <w:b w:val="0"/>
                <w:sz w:val="22"/>
                <w:szCs w:val="22"/>
              </w:rPr>
              <w:t xml:space="preserve"> P</w:t>
            </w:r>
            <w:r>
              <w:rPr>
                <w:rFonts w:asciiTheme="minorHAnsi" w:hAnsiTheme="minorHAnsi" w:cstheme="minorHAnsi"/>
                <w:b w:val="0"/>
                <w:sz w:val="22"/>
                <w:szCs w:val="22"/>
              </w:rPr>
              <w:t>ylon</w:t>
            </w:r>
            <w:r w:rsidRPr="009E7FE2">
              <w:rPr>
                <w:rFonts w:asciiTheme="minorHAnsi" w:hAnsiTheme="minorHAnsi" w:cstheme="minorHAnsi"/>
                <w:b w:val="0"/>
                <w:sz w:val="22"/>
                <w:szCs w:val="22"/>
              </w:rPr>
              <w:t xml:space="preserve"> E</w:t>
            </w:r>
            <w:r>
              <w:rPr>
                <w:rFonts w:asciiTheme="minorHAnsi" w:hAnsiTheme="minorHAnsi" w:cstheme="minorHAnsi"/>
                <w:b w:val="0"/>
                <w:sz w:val="22"/>
                <w:szCs w:val="22"/>
              </w:rPr>
              <w:t>nclosure</w:t>
            </w:r>
            <w:r w:rsidRPr="009E7FE2">
              <w:rPr>
                <w:rFonts w:asciiTheme="minorHAnsi" w:hAnsiTheme="minorHAnsi" w:cstheme="minorHAnsi"/>
                <w:b w:val="0"/>
                <w:sz w:val="22"/>
                <w:szCs w:val="22"/>
              </w:rPr>
              <w:t xml:space="preserve"> A</w:t>
            </w:r>
            <w:r>
              <w:rPr>
                <w:rFonts w:asciiTheme="minorHAnsi" w:hAnsiTheme="minorHAnsi" w:cstheme="minorHAnsi"/>
                <w:b w:val="0"/>
                <w:sz w:val="22"/>
                <w:szCs w:val="22"/>
              </w:rPr>
              <w:t>ssy</w:t>
            </w:r>
            <w:r w:rsidRPr="009E7FE2">
              <w:rPr>
                <w:rFonts w:asciiTheme="minorHAnsi" w:hAnsiTheme="minorHAnsi" w:cstheme="minorHAnsi"/>
                <w:b w:val="0"/>
                <w:sz w:val="22"/>
                <w:szCs w:val="22"/>
              </w:rPr>
              <w:t>.</w:t>
            </w:r>
          </w:p>
        </w:tc>
        <w:tc>
          <w:tcPr>
            <w:tcW w:w="1648" w:type="dxa"/>
          </w:tcPr>
          <w:p w:rsidR="0074065F" w:rsidRPr="00612E9D" w:rsidRDefault="009E7FE2" w:rsidP="00154071">
            <w:pPr>
              <w:jc w:val="center"/>
              <w:rPr>
                <w:rFonts w:cs="Calibri"/>
              </w:rPr>
            </w:pPr>
            <w:r>
              <w:rPr>
                <w:rFonts w:cs="Calibri"/>
              </w:rPr>
              <w:t>1</w:t>
            </w:r>
            <w:r w:rsidR="00154071">
              <w:rPr>
                <w:rFonts w:cs="Calibri"/>
              </w:rPr>
              <w:t>5</w:t>
            </w:r>
          </w:p>
        </w:tc>
        <w:tc>
          <w:tcPr>
            <w:tcW w:w="2340" w:type="dxa"/>
          </w:tcPr>
          <w:p w:rsidR="0074065F" w:rsidRPr="00313033" w:rsidRDefault="00154071" w:rsidP="00C46CA4">
            <w:pPr>
              <w:jc w:val="center"/>
              <w:rPr>
                <w:rFonts w:cs="Calibri"/>
              </w:rPr>
            </w:pPr>
            <w:r>
              <w:rPr>
                <w:rFonts w:cs="Calibri"/>
              </w:rPr>
              <w:t>10</w:t>
            </w:r>
          </w:p>
        </w:tc>
      </w:tr>
      <w:tr w:rsidR="0074065F" w:rsidRPr="00612E9D" w:rsidTr="00313033">
        <w:trPr>
          <w:trHeight w:val="293"/>
        </w:trPr>
        <w:tc>
          <w:tcPr>
            <w:tcW w:w="1585" w:type="dxa"/>
            <w:vAlign w:val="center"/>
          </w:tcPr>
          <w:p w:rsidR="0074065F" w:rsidRPr="00D86798" w:rsidRDefault="007675AF" w:rsidP="009E7FE2">
            <w:pPr>
              <w:rPr>
                <w:rFonts w:cs="Calibri"/>
              </w:rPr>
            </w:pPr>
            <w:hyperlink r:id="rId14" w:history="1">
              <w:r w:rsidR="00DE0323" w:rsidRPr="00D86798">
                <w:rPr>
                  <w:rStyle w:val="Hyperlink"/>
                </w:rPr>
                <w:t>LIGO-D1100</w:t>
              </w:r>
              <w:r w:rsidR="009E7FE2" w:rsidRPr="00D86798">
                <w:rPr>
                  <w:rStyle w:val="Hyperlink"/>
                </w:rPr>
                <w:t>209</w:t>
              </w:r>
              <w:r w:rsidR="00DE0323" w:rsidRPr="00D86798">
                <w:rPr>
                  <w:rStyle w:val="Hyperlink"/>
                </w:rPr>
                <w:t>-v2</w:t>
              </w:r>
            </w:hyperlink>
          </w:p>
        </w:tc>
        <w:tc>
          <w:tcPr>
            <w:tcW w:w="3362" w:type="dxa"/>
            <w:vAlign w:val="center"/>
          </w:tcPr>
          <w:p w:rsidR="0074065F" w:rsidRPr="009E7FE2" w:rsidRDefault="009E7FE2" w:rsidP="009E7FE2">
            <w:pPr>
              <w:rPr>
                <w:rFonts w:cs="Calibri"/>
              </w:rPr>
            </w:pPr>
            <w:proofErr w:type="spellStart"/>
            <w:r w:rsidRPr="009E7FE2">
              <w:rPr>
                <w:rFonts w:asciiTheme="minorHAnsi" w:hAnsiTheme="minorHAnsi" w:cstheme="minorHAnsi"/>
              </w:rPr>
              <w:t>aLIGO</w:t>
            </w:r>
            <w:proofErr w:type="spellEnd"/>
            <w:r w:rsidRPr="009E7FE2">
              <w:rPr>
                <w:rFonts w:asciiTheme="minorHAnsi" w:hAnsiTheme="minorHAnsi" w:cstheme="minorHAnsi"/>
              </w:rPr>
              <w:t xml:space="preserve">, AOS, </w:t>
            </w:r>
            <w:proofErr w:type="spellStart"/>
            <w:r w:rsidRPr="009E7FE2">
              <w:rPr>
                <w:rFonts w:asciiTheme="minorHAnsi" w:hAnsiTheme="minorHAnsi" w:cstheme="minorHAnsi"/>
              </w:rPr>
              <w:t>OpLev</w:t>
            </w:r>
            <w:proofErr w:type="spellEnd"/>
            <w:r w:rsidRPr="009E7FE2">
              <w:rPr>
                <w:rFonts w:asciiTheme="minorHAnsi" w:hAnsiTheme="minorHAnsi" w:cstheme="minorHAnsi"/>
              </w:rPr>
              <w:t xml:space="preserve"> </w:t>
            </w:r>
            <w:proofErr w:type="spellStart"/>
            <w:r w:rsidRPr="009E7FE2">
              <w:rPr>
                <w:rFonts w:asciiTheme="minorHAnsi" w:hAnsiTheme="minorHAnsi" w:cstheme="minorHAnsi"/>
              </w:rPr>
              <w:t>X</w:t>
            </w:r>
            <w:r>
              <w:rPr>
                <w:rFonts w:asciiTheme="minorHAnsi" w:hAnsiTheme="minorHAnsi" w:cstheme="minorHAnsi"/>
              </w:rPr>
              <w:t>mt</w:t>
            </w:r>
            <w:r w:rsidRPr="009E7FE2">
              <w:rPr>
                <w:rFonts w:asciiTheme="minorHAnsi" w:hAnsiTheme="minorHAnsi" w:cstheme="minorHAnsi"/>
              </w:rPr>
              <w:t>r</w:t>
            </w:r>
            <w:proofErr w:type="spellEnd"/>
            <w:r w:rsidRPr="009E7FE2">
              <w:rPr>
                <w:rFonts w:asciiTheme="minorHAnsi" w:hAnsiTheme="minorHAnsi" w:cstheme="minorHAnsi"/>
              </w:rPr>
              <w:t xml:space="preserve"> Pylon Enclosure Assy.</w:t>
            </w:r>
          </w:p>
        </w:tc>
        <w:tc>
          <w:tcPr>
            <w:tcW w:w="1648" w:type="dxa"/>
          </w:tcPr>
          <w:p w:rsidR="0074065F" w:rsidRPr="00612E9D" w:rsidRDefault="009E7FE2" w:rsidP="00154071">
            <w:pPr>
              <w:jc w:val="center"/>
              <w:rPr>
                <w:rFonts w:cs="Calibri"/>
              </w:rPr>
            </w:pPr>
            <w:r>
              <w:rPr>
                <w:rFonts w:cs="Calibri"/>
              </w:rPr>
              <w:t>1</w:t>
            </w:r>
            <w:r w:rsidR="00154071">
              <w:rPr>
                <w:rFonts w:cs="Calibri"/>
              </w:rPr>
              <w:t>8</w:t>
            </w:r>
          </w:p>
        </w:tc>
        <w:tc>
          <w:tcPr>
            <w:tcW w:w="2340" w:type="dxa"/>
          </w:tcPr>
          <w:p w:rsidR="0074065F" w:rsidRPr="00313033" w:rsidRDefault="00154071" w:rsidP="00C46CA4">
            <w:pPr>
              <w:jc w:val="center"/>
              <w:rPr>
                <w:rFonts w:cs="Calibri"/>
              </w:rPr>
            </w:pPr>
            <w:r>
              <w:rPr>
                <w:rFonts w:cs="Calibri"/>
              </w:rPr>
              <w:t>6.5</w:t>
            </w:r>
          </w:p>
        </w:tc>
      </w:tr>
    </w:tbl>
    <w:p w:rsidR="0074065F" w:rsidRDefault="00313033" w:rsidP="00313033">
      <w:pPr>
        <w:rPr>
          <w:rFonts w:cs="Calibri"/>
        </w:rPr>
      </w:pPr>
      <w:r>
        <w:rPr>
          <w:rFonts w:cs="Calibri"/>
        </w:rPr>
        <w:t xml:space="preserve">Note: refer to </w:t>
      </w:r>
      <w:hyperlink r:id="rId15" w:tooltip="LIGO-Q1100003-v1" w:history="1">
        <w:r w:rsidR="00BF6CE8">
          <w:rPr>
            <w:rStyle w:val="Hyperlink"/>
          </w:rPr>
          <w:t>LIGO-Q1100003-v1</w:t>
        </w:r>
      </w:hyperlink>
      <w:r w:rsidR="00BF6CE8">
        <w:rPr>
          <w:rFonts w:cs="Calibri"/>
        </w:rPr>
        <w:t xml:space="preserve"> </w:t>
      </w:r>
      <w:r>
        <w:rPr>
          <w:rFonts w:cs="Calibri"/>
        </w:rPr>
        <w:t>for the AQL table.</w:t>
      </w:r>
    </w:p>
    <w:p w:rsidR="005D4B03" w:rsidRPr="005D4B03" w:rsidRDefault="005D4B03" w:rsidP="005D4B03">
      <w:pPr>
        <w:pStyle w:val="Caption"/>
        <w:rPr>
          <w:rFonts w:cs="Calibri"/>
          <w:color w:val="auto"/>
          <w:sz w:val="24"/>
          <w:szCs w:val="24"/>
        </w:rPr>
      </w:pPr>
      <w:r w:rsidRPr="005D4B03">
        <w:rPr>
          <w:color w:val="auto"/>
          <w:sz w:val="24"/>
          <w:szCs w:val="24"/>
        </w:rPr>
        <w:t xml:space="preserve">Table </w:t>
      </w:r>
      <w:r w:rsidR="007675AF" w:rsidRPr="005D4B03">
        <w:rPr>
          <w:color w:val="auto"/>
          <w:sz w:val="24"/>
          <w:szCs w:val="24"/>
        </w:rPr>
        <w:fldChar w:fldCharType="begin"/>
      </w:r>
      <w:r w:rsidRPr="005D4B03">
        <w:rPr>
          <w:color w:val="auto"/>
          <w:sz w:val="24"/>
          <w:szCs w:val="24"/>
        </w:rPr>
        <w:instrText xml:space="preserve"> SEQ Table \* ARABIC </w:instrText>
      </w:r>
      <w:r w:rsidR="007675AF" w:rsidRPr="005D4B03">
        <w:rPr>
          <w:color w:val="auto"/>
          <w:sz w:val="24"/>
          <w:szCs w:val="24"/>
        </w:rPr>
        <w:fldChar w:fldCharType="separate"/>
      </w:r>
      <w:r>
        <w:rPr>
          <w:noProof/>
          <w:color w:val="auto"/>
          <w:sz w:val="24"/>
          <w:szCs w:val="24"/>
        </w:rPr>
        <w:t>1</w:t>
      </w:r>
      <w:r w:rsidR="007675AF" w:rsidRPr="005D4B03">
        <w:rPr>
          <w:color w:val="auto"/>
          <w:sz w:val="24"/>
          <w:szCs w:val="24"/>
        </w:rPr>
        <w:fldChar w:fldCharType="end"/>
      </w:r>
    </w:p>
    <w:p w:rsidR="00BF6CE8" w:rsidRPr="00B54ECB" w:rsidRDefault="00BF6CE8" w:rsidP="00313033">
      <w:pPr>
        <w:rPr>
          <w:rFonts w:cs="Calibri"/>
          <w:vanish/>
          <w:color w:val="FF0000"/>
        </w:rPr>
      </w:pPr>
      <w:r w:rsidRPr="00B54ECB">
        <w:rPr>
          <w:rFonts w:cs="Calibri"/>
          <w:vanish/>
          <w:color w:val="FF0000"/>
        </w:rPr>
        <w:lastRenderedPageBreak/>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rsidR="00313033" w:rsidRPr="00B54ECB" w:rsidRDefault="00BF6CE8" w:rsidP="00313033">
      <w:pPr>
        <w:rPr>
          <w:rFonts w:cs="Calibri"/>
          <w:vanish/>
          <w:color w:val="FF0000"/>
        </w:rPr>
      </w:pPr>
      <w:r w:rsidRPr="00B54ECB">
        <w:rPr>
          <w:rFonts w:cs="Calibri"/>
          <w:vanish/>
          <w:color w:val="FF0000"/>
        </w:rPr>
        <w:t xml:space="preserve">Note 2: Additional inspection instructions beyond the AQL number can be given – such as 100% inspection of all </w:t>
      </w:r>
      <w:r w:rsidR="00B54ECB" w:rsidRPr="00B54ECB">
        <w:rPr>
          <w:rFonts w:cs="Calibri"/>
          <w:vanish/>
          <w:color w:val="FF0000"/>
        </w:rPr>
        <w:t>threaded holes.</w:t>
      </w:r>
    </w:p>
    <w:p w:rsidR="00BF6CE8" w:rsidRPr="00612E9D" w:rsidRDefault="00BF6CE8" w:rsidP="00313033">
      <w:pPr>
        <w:rPr>
          <w:rFonts w:cs="Calibri"/>
        </w:rPr>
      </w:pPr>
    </w:p>
    <w:p w:rsidR="00DD01A3" w:rsidRPr="005C7486" w:rsidRDefault="00DD01A3" w:rsidP="00DD01A3">
      <w:pPr>
        <w:numPr>
          <w:ilvl w:val="0"/>
          <w:numId w:val="13"/>
        </w:numPr>
        <w:rPr>
          <w:rFonts w:cs="Calibri"/>
          <w:b/>
          <w:color w:val="FF0000"/>
          <w:sz w:val="24"/>
          <w:szCs w:val="24"/>
        </w:rPr>
      </w:pPr>
      <w:r w:rsidRPr="00DD01A3">
        <w:rPr>
          <w:rFonts w:cs="Calibri"/>
          <w:b/>
          <w:sz w:val="28"/>
          <w:szCs w:val="28"/>
        </w:rPr>
        <w:t>Manufacturing:</w:t>
      </w:r>
      <w:r w:rsidRPr="00DD01A3">
        <w:rPr>
          <w:rFonts w:cs="Calibri"/>
          <w:b/>
          <w:color w:val="FF0000"/>
          <w:sz w:val="28"/>
          <w:szCs w:val="28"/>
        </w:rPr>
        <w:t xml:space="preserve"> </w:t>
      </w:r>
    </w:p>
    <w:p w:rsidR="005C7486" w:rsidRPr="005C7486" w:rsidRDefault="005C7486" w:rsidP="005C7486">
      <w:pPr>
        <w:pStyle w:val="ListParagraph"/>
        <w:keepNext/>
        <w:ind w:left="0"/>
        <w:contextualSpacing w:val="0"/>
        <w:outlineLvl w:val="0"/>
        <w:rPr>
          <w:rFonts w:cs="Calibri"/>
          <w:b/>
        </w:rPr>
      </w:pPr>
    </w:p>
    <w:p w:rsidR="00C144B4" w:rsidRPr="006964BB" w:rsidRDefault="00C144B4" w:rsidP="006E01AF">
      <w:pPr>
        <w:pStyle w:val="ListParagraph"/>
        <w:keepNext/>
        <w:numPr>
          <w:ilvl w:val="1"/>
          <w:numId w:val="13"/>
        </w:numPr>
        <w:contextualSpacing w:val="0"/>
        <w:outlineLvl w:val="0"/>
        <w:rPr>
          <w:rFonts w:cs="Calibri"/>
          <w:b/>
        </w:rPr>
      </w:pPr>
      <w:r w:rsidRPr="006964BB">
        <w:rPr>
          <w:rFonts w:cs="Calibri"/>
          <w:b/>
          <w:sz w:val="28"/>
          <w:szCs w:val="28"/>
        </w:rPr>
        <w:t>Requirements:</w:t>
      </w:r>
    </w:p>
    <w:p w:rsidR="00C144B4" w:rsidRPr="006964BB" w:rsidRDefault="00C144B4" w:rsidP="00C144B4">
      <w:pPr>
        <w:pStyle w:val="ListParagraph"/>
        <w:keepNext/>
        <w:contextualSpacing w:val="0"/>
        <w:outlineLvl w:val="0"/>
        <w:rPr>
          <w:rFonts w:cs="Calibri"/>
        </w:rPr>
      </w:pPr>
      <w:r w:rsidRPr="006964BB">
        <w:rPr>
          <w:rFonts w:cs="Calibri"/>
        </w:rPr>
        <w:t>Suppliers must refer to the LIGO Specifications referenced in Section 3 for additional, and in some cases, non-industry standard requirements.</w:t>
      </w:r>
    </w:p>
    <w:p w:rsidR="00C144B4" w:rsidRPr="006964BB" w:rsidRDefault="00C144B4" w:rsidP="00C144B4">
      <w:pPr>
        <w:pStyle w:val="ListParagraph"/>
        <w:keepNext/>
        <w:contextualSpacing w:val="0"/>
        <w:outlineLvl w:val="0"/>
        <w:rPr>
          <w:rFonts w:cs="Calibri"/>
        </w:rPr>
      </w:pPr>
    </w:p>
    <w:p w:rsidR="0062494F" w:rsidRPr="006964BB" w:rsidRDefault="0062494F" w:rsidP="006E01AF">
      <w:pPr>
        <w:pStyle w:val="ListParagraph"/>
        <w:keepNext/>
        <w:numPr>
          <w:ilvl w:val="1"/>
          <w:numId w:val="13"/>
        </w:numPr>
        <w:contextualSpacing w:val="0"/>
        <w:outlineLvl w:val="0"/>
        <w:rPr>
          <w:rFonts w:cs="Calibri"/>
          <w:b/>
        </w:rPr>
      </w:pPr>
      <w:r w:rsidRPr="006964BB">
        <w:rPr>
          <w:rFonts w:cs="Calibri"/>
          <w:b/>
          <w:sz w:val="28"/>
          <w:szCs w:val="28"/>
        </w:rPr>
        <w:t>Sub-Contracted Work:</w:t>
      </w:r>
    </w:p>
    <w:p w:rsidR="00D120AA" w:rsidRPr="006964BB" w:rsidRDefault="001D0221" w:rsidP="00D120AA">
      <w:pPr>
        <w:pStyle w:val="ListParagraph"/>
        <w:keepNext/>
        <w:numPr>
          <w:ilvl w:val="0"/>
          <w:numId w:val="25"/>
        </w:numPr>
        <w:contextualSpacing w:val="0"/>
        <w:outlineLvl w:val="0"/>
        <w:rPr>
          <w:rFonts w:cs="Calibri"/>
        </w:rPr>
      </w:pPr>
      <w:r w:rsidRPr="006964BB">
        <w:rPr>
          <w:rFonts w:cs="Calibri"/>
        </w:rPr>
        <w:t xml:space="preserve">LIGO expects that at least 2/3 (by dollar value) of the contracted work be performed by the Supplier named on the Purchase Order.  The Supplier shall be responsible for all sub-contracted work.  </w:t>
      </w:r>
    </w:p>
    <w:p w:rsidR="001D0221" w:rsidRPr="0062494F" w:rsidRDefault="001D0221" w:rsidP="004B1ACC">
      <w:pPr>
        <w:pStyle w:val="ListParagraph"/>
        <w:keepNext/>
        <w:ind w:left="1152"/>
        <w:contextualSpacing w:val="0"/>
        <w:outlineLvl w:val="0"/>
        <w:rPr>
          <w:rFonts w:cs="Calibri"/>
          <w:b/>
        </w:rPr>
      </w:pPr>
    </w:p>
    <w:p w:rsidR="006E01AF" w:rsidRPr="006E01AF" w:rsidRDefault="006E01AF" w:rsidP="004B1ACC">
      <w:pPr>
        <w:pStyle w:val="ListParagraph"/>
        <w:keepNext/>
        <w:numPr>
          <w:ilvl w:val="1"/>
          <w:numId w:val="13"/>
        </w:numPr>
        <w:ind w:left="1152" w:hanging="432"/>
        <w:contextualSpacing w:val="0"/>
        <w:outlineLvl w:val="0"/>
        <w:rPr>
          <w:rFonts w:cs="Calibri"/>
          <w:b/>
        </w:rPr>
      </w:pPr>
      <w:r>
        <w:rPr>
          <w:rFonts w:cs="Calibri"/>
          <w:b/>
          <w:sz w:val="28"/>
          <w:szCs w:val="28"/>
        </w:rPr>
        <w:t>Precedence</w:t>
      </w:r>
      <w:r w:rsidRPr="00DD01A3">
        <w:rPr>
          <w:rFonts w:cs="Calibri"/>
          <w:b/>
          <w:sz w:val="28"/>
          <w:szCs w:val="28"/>
        </w:rPr>
        <w:t>:</w:t>
      </w:r>
    </w:p>
    <w:p w:rsidR="006E01AF" w:rsidRPr="00DD01A3" w:rsidRDefault="005873AC" w:rsidP="006E01AF">
      <w:pPr>
        <w:ind w:left="720"/>
        <w:rPr>
          <w:rFonts w:cs="Calibri"/>
          <w:strike/>
        </w:rPr>
      </w:pPr>
      <w:r>
        <w:rPr>
          <w:rFonts w:cs="Calibri"/>
        </w:rPr>
        <w:t>The drawings typically represent the finished part as needed for use in service.  There may be requirements on the drawing (such as coatings) which are specifically defined as not the responsibility of the supplier in this SOW.  S</w:t>
      </w:r>
      <w:r w:rsidR="006E01AF" w:rsidRPr="006964BB">
        <w:rPr>
          <w:rFonts w:cs="Calibri"/>
        </w:rPr>
        <w:t xml:space="preserve">uppliers </w:t>
      </w:r>
      <w:r>
        <w:rPr>
          <w:rFonts w:cs="Calibri"/>
        </w:rPr>
        <w:t xml:space="preserve">should </w:t>
      </w:r>
      <w:r w:rsidR="00D80789">
        <w:rPr>
          <w:rFonts w:cs="Calibri"/>
        </w:rPr>
        <w:t xml:space="preserve">always </w:t>
      </w:r>
      <w:r w:rsidR="006E01AF" w:rsidRPr="006964BB">
        <w:rPr>
          <w:rFonts w:cs="Calibri"/>
        </w:rPr>
        <w:t xml:space="preserve">contact </w:t>
      </w:r>
      <w:r>
        <w:rPr>
          <w:rFonts w:cs="Calibri"/>
        </w:rPr>
        <w:t xml:space="preserve">a </w:t>
      </w:r>
      <w:r w:rsidR="006E01AF" w:rsidRPr="006964BB">
        <w:rPr>
          <w:rFonts w:cs="Calibri"/>
        </w:rPr>
        <w:t xml:space="preserve">LIGO </w:t>
      </w:r>
      <w:r>
        <w:rPr>
          <w:rFonts w:cs="Calibri"/>
        </w:rPr>
        <w:t xml:space="preserve">representative </w:t>
      </w:r>
      <w:r w:rsidR="00613AA6" w:rsidRPr="006964BB">
        <w:rPr>
          <w:rFonts w:cs="Calibri"/>
        </w:rPr>
        <w:t xml:space="preserve">to resolve </w:t>
      </w:r>
      <w:r w:rsidR="006E01AF" w:rsidRPr="006964BB">
        <w:rPr>
          <w:rFonts w:cs="Calibri"/>
        </w:rPr>
        <w:t xml:space="preserve">any discrepancies </w:t>
      </w:r>
      <w:r w:rsidR="00D80789">
        <w:rPr>
          <w:rFonts w:cs="Calibri"/>
        </w:rPr>
        <w:t>uncertainties in the documentation or instructions.</w:t>
      </w:r>
    </w:p>
    <w:p w:rsidR="006E01AF" w:rsidRPr="005C7486" w:rsidRDefault="006E01AF" w:rsidP="006E01AF">
      <w:pPr>
        <w:pStyle w:val="ListParagraph"/>
        <w:keepNext/>
        <w:ind w:left="1155"/>
        <w:contextualSpacing w:val="0"/>
        <w:outlineLvl w:val="0"/>
        <w:rPr>
          <w:rFonts w:cs="Calibri"/>
          <w:b/>
        </w:rPr>
      </w:pPr>
    </w:p>
    <w:p w:rsidR="00D80789" w:rsidRPr="00D80789" w:rsidRDefault="00D80789" w:rsidP="005C7486">
      <w:pPr>
        <w:pStyle w:val="ListParagraph"/>
        <w:keepNext/>
        <w:numPr>
          <w:ilvl w:val="1"/>
          <w:numId w:val="13"/>
        </w:numPr>
        <w:contextualSpacing w:val="0"/>
        <w:outlineLvl w:val="0"/>
        <w:rPr>
          <w:rFonts w:cs="Calibri"/>
          <w:b/>
        </w:rPr>
      </w:pPr>
      <w:r>
        <w:rPr>
          <w:rFonts w:cs="Calibri"/>
          <w:b/>
          <w:sz w:val="28"/>
          <w:szCs w:val="28"/>
        </w:rPr>
        <w:t>Special Instructions:</w:t>
      </w:r>
      <w:r w:rsidR="00E24EC7">
        <w:rPr>
          <w:rFonts w:cs="Calibri"/>
          <w:b/>
          <w:sz w:val="28"/>
          <w:szCs w:val="28"/>
        </w:rPr>
        <w:t xml:space="preserve"> none</w:t>
      </w:r>
    </w:p>
    <w:p w:rsidR="00D80789" w:rsidRPr="00D80789" w:rsidRDefault="008F45DF" w:rsidP="00D80789">
      <w:pPr>
        <w:pStyle w:val="ListParagraph"/>
        <w:keepNext/>
        <w:contextualSpacing w:val="0"/>
        <w:outlineLvl w:val="0"/>
        <w:rPr>
          <w:rFonts w:cs="Calibri"/>
          <w:b/>
        </w:rPr>
      </w:pPr>
      <w:r>
        <w:rPr>
          <w:rFonts w:cs="Calibri"/>
          <w:vanish/>
          <w:color w:val="FF0000"/>
        </w:rPr>
        <w:t>Add</w:t>
      </w:r>
      <w:r w:rsidR="00D80789">
        <w:rPr>
          <w:rFonts w:cs="Calibri"/>
          <w:vanish/>
          <w:color w:val="FF0000"/>
        </w:rPr>
        <w:t xml:space="preserve"> special manufacturing notes</w:t>
      </w:r>
    </w:p>
    <w:p w:rsidR="00D80789" w:rsidRPr="00D80789" w:rsidRDefault="00D80789" w:rsidP="00D80789">
      <w:pPr>
        <w:pStyle w:val="ListParagraph"/>
        <w:keepNext/>
        <w:ind w:left="1155"/>
        <w:contextualSpacing w:val="0"/>
        <w:outlineLvl w:val="0"/>
        <w:rPr>
          <w:rFonts w:cs="Calibri"/>
          <w:b/>
        </w:rPr>
      </w:pPr>
    </w:p>
    <w:p w:rsidR="00DD01A3" w:rsidRPr="00DD01A3" w:rsidRDefault="00DD01A3" w:rsidP="00DD01A3">
      <w:pPr>
        <w:numPr>
          <w:ilvl w:val="0"/>
          <w:numId w:val="13"/>
        </w:numPr>
        <w:rPr>
          <w:rFonts w:cs="Calibri"/>
        </w:rPr>
      </w:pPr>
      <w:r w:rsidRPr="00DD01A3">
        <w:rPr>
          <w:rFonts w:cs="Calibri"/>
          <w:b/>
          <w:sz w:val="28"/>
          <w:szCs w:val="28"/>
        </w:rPr>
        <w:t xml:space="preserve">End Item Data Package:  </w:t>
      </w:r>
      <w:r w:rsidRPr="00DD01A3">
        <w:rPr>
          <w:rFonts w:cs="Calibri"/>
          <w:vanish/>
          <w:color w:val="FF0000"/>
        </w:rPr>
        <w:t>Add/delete lines as ne</w:t>
      </w:r>
      <w:r>
        <w:rPr>
          <w:rFonts w:cs="Calibri"/>
          <w:vanish/>
          <w:color w:val="FF0000"/>
        </w:rPr>
        <w:t>cessary</w:t>
      </w:r>
    </w:p>
    <w:p w:rsidR="00DD01A3" w:rsidRPr="00DD01A3" w:rsidRDefault="008F31E0" w:rsidP="00DD01A3">
      <w:pPr>
        <w:ind w:left="435"/>
        <w:rPr>
          <w:rFonts w:cs="Calibri"/>
        </w:rPr>
      </w:pPr>
      <w:r>
        <w:rPr>
          <w:rFonts w:cs="Calibri"/>
        </w:rPr>
        <w:t xml:space="preserve">Before </w:t>
      </w:r>
      <w:r w:rsidR="00DD01A3" w:rsidRPr="00DD01A3">
        <w:rPr>
          <w:rFonts w:cs="Calibri"/>
        </w:rPr>
        <w:t>delivery of the parts, the Supplier shall provide the following data, as a minimum:</w:t>
      </w:r>
      <w:r w:rsidR="00640FDF">
        <w:rPr>
          <w:rFonts w:cs="Calibri"/>
        </w:rPr>
        <w:t xml:space="preserve"> </w:t>
      </w:r>
    </w:p>
    <w:p w:rsidR="00DD01A3" w:rsidRPr="00DD01A3" w:rsidRDefault="00DD01A3" w:rsidP="00DD01A3">
      <w:pPr>
        <w:numPr>
          <w:ilvl w:val="0"/>
          <w:numId w:val="8"/>
        </w:numPr>
        <w:rPr>
          <w:rFonts w:cs="Calibri"/>
        </w:rPr>
      </w:pPr>
      <w:r w:rsidRPr="00DD01A3">
        <w:rPr>
          <w:rFonts w:cs="Calibri"/>
        </w:rPr>
        <w:t>Any as-built modifications (with approval of the LIGO Contracting Officer) as mark-ups to the drawings</w:t>
      </w:r>
    </w:p>
    <w:p w:rsidR="00DD01A3" w:rsidRDefault="00DD01A3" w:rsidP="00DD01A3">
      <w:pPr>
        <w:numPr>
          <w:ilvl w:val="0"/>
          <w:numId w:val="8"/>
        </w:numPr>
        <w:rPr>
          <w:rFonts w:cs="Calibri"/>
        </w:rPr>
      </w:pPr>
      <w:r w:rsidRPr="00DD01A3">
        <w:rPr>
          <w:rFonts w:cs="Calibri"/>
        </w:rPr>
        <w:t>Material certifications</w:t>
      </w:r>
    </w:p>
    <w:p w:rsidR="00DD01A3" w:rsidRPr="006964BB" w:rsidRDefault="00D120AA" w:rsidP="00DD01A3">
      <w:pPr>
        <w:numPr>
          <w:ilvl w:val="0"/>
          <w:numId w:val="8"/>
        </w:numPr>
        <w:rPr>
          <w:rFonts w:cs="Calibri"/>
        </w:rPr>
      </w:pPr>
      <w:r w:rsidRPr="006964BB">
        <w:rPr>
          <w:rFonts w:cs="Calibri"/>
        </w:rPr>
        <w:t xml:space="preserve">Inspection reports of all dimensional features </w:t>
      </w:r>
      <w:r w:rsidR="0062072C" w:rsidRPr="006964BB">
        <w:rPr>
          <w:rFonts w:cs="Calibri"/>
        </w:rPr>
        <w:t>for t</w:t>
      </w:r>
      <w:r w:rsidR="0074065F" w:rsidRPr="006964BB">
        <w:rPr>
          <w:rFonts w:cs="Calibri"/>
        </w:rPr>
        <w:t xml:space="preserve">he number of parts specified per the AQL number and referenced in the AQL table </w:t>
      </w:r>
      <w:hyperlink r:id="rId16" w:tooltip="LIGO-Q1100003-v1" w:history="1">
        <w:r w:rsidR="00BF6CE8">
          <w:rPr>
            <w:rStyle w:val="Hyperlink"/>
          </w:rPr>
          <w:t>LIGO-Q1100003-v1</w:t>
        </w:r>
      </w:hyperlink>
      <w:r w:rsidR="00BF6CE8">
        <w:t xml:space="preserve"> and any other inspection requirements detailed in Section 5 of this SOW</w:t>
      </w:r>
    </w:p>
    <w:p w:rsidR="00DB068C" w:rsidRPr="006964BB" w:rsidRDefault="006964BB" w:rsidP="00613AA6">
      <w:pPr>
        <w:numPr>
          <w:ilvl w:val="0"/>
          <w:numId w:val="8"/>
        </w:numPr>
        <w:rPr>
          <w:rFonts w:cs="Calibri"/>
        </w:rPr>
      </w:pPr>
      <w:r w:rsidRPr="006964BB">
        <w:rPr>
          <w:rFonts w:cs="Calibri"/>
        </w:rPr>
        <w:t xml:space="preserve">Certificate </w:t>
      </w:r>
      <w:r w:rsidR="00DD01A3" w:rsidRPr="006964BB">
        <w:rPr>
          <w:rFonts w:cs="Calibri"/>
        </w:rPr>
        <w:t>of compliance</w:t>
      </w:r>
      <w:r w:rsidR="00D120AA" w:rsidRPr="006964BB">
        <w:rPr>
          <w:rFonts w:cs="Calibri"/>
        </w:rPr>
        <w:t xml:space="preserve"> for each part number stating conformance to</w:t>
      </w:r>
      <w:r w:rsidR="00DD01A3" w:rsidRPr="006964BB">
        <w:rPr>
          <w:rFonts w:cs="Calibri"/>
        </w:rPr>
        <w:t xml:space="preserve"> </w:t>
      </w:r>
      <w:r w:rsidRPr="006964BB">
        <w:rPr>
          <w:rFonts w:cs="Calibri"/>
        </w:rPr>
        <w:t>contract and drawing</w:t>
      </w:r>
      <w:r w:rsidR="00DD01A3" w:rsidRPr="006964BB">
        <w:rPr>
          <w:rFonts w:cs="Calibri"/>
        </w:rPr>
        <w:t xml:space="preserve"> re</w:t>
      </w:r>
      <w:r w:rsidR="00BF6CE8">
        <w:rPr>
          <w:rFonts w:cs="Calibri"/>
        </w:rPr>
        <w:t>quirements</w:t>
      </w:r>
    </w:p>
    <w:p w:rsidR="00A06428" w:rsidRPr="00A06428" w:rsidRDefault="00A06428" w:rsidP="00DD01A3">
      <w:pPr>
        <w:rPr>
          <w:rFonts w:cs="Calibri"/>
          <w:b/>
        </w:rPr>
      </w:pPr>
    </w:p>
    <w:p w:rsidR="00046A4C" w:rsidRDefault="009E56E3" w:rsidP="00046A4C">
      <w:pPr>
        <w:numPr>
          <w:ilvl w:val="0"/>
          <w:numId w:val="13"/>
        </w:numPr>
        <w:rPr>
          <w:rFonts w:cs="Calibri"/>
          <w:b/>
          <w:sz w:val="28"/>
          <w:szCs w:val="28"/>
        </w:rPr>
      </w:pPr>
      <w:r w:rsidRPr="00612E9D">
        <w:rPr>
          <w:rFonts w:cs="Calibri"/>
          <w:b/>
          <w:sz w:val="28"/>
          <w:szCs w:val="28"/>
        </w:rPr>
        <w:t>D</w:t>
      </w:r>
      <w:r w:rsidR="00FB1D85" w:rsidRPr="00612E9D">
        <w:rPr>
          <w:rFonts w:cs="Calibri"/>
          <w:b/>
          <w:sz w:val="28"/>
          <w:szCs w:val="28"/>
        </w:rPr>
        <w:t>elivery Requirements</w:t>
      </w:r>
      <w:r w:rsidR="00046A4C" w:rsidRPr="00612E9D">
        <w:rPr>
          <w:rFonts w:cs="Calibri"/>
          <w:b/>
          <w:sz w:val="28"/>
          <w:szCs w:val="28"/>
        </w:rPr>
        <w:t>:</w:t>
      </w:r>
    </w:p>
    <w:p w:rsidR="0001519E" w:rsidRPr="0001519E" w:rsidRDefault="0001519E" w:rsidP="0001519E">
      <w:pPr>
        <w:ind w:left="435"/>
        <w:rPr>
          <w:rFonts w:cs="Calibri"/>
          <w:b/>
        </w:rPr>
      </w:pPr>
    </w:p>
    <w:p w:rsidR="00B3760B" w:rsidRPr="00B3760B" w:rsidRDefault="00B3760B" w:rsidP="00B3760B">
      <w:pPr>
        <w:numPr>
          <w:ilvl w:val="1"/>
          <w:numId w:val="13"/>
        </w:numPr>
        <w:rPr>
          <w:rFonts w:cs="Calibri"/>
          <w:b/>
          <w:sz w:val="28"/>
          <w:szCs w:val="28"/>
        </w:rPr>
      </w:pPr>
      <w:r>
        <w:rPr>
          <w:rFonts w:cs="Calibri"/>
          <w:b/>
          <w:sz w:val="28"/>
          <w:szCs w:val="28"/>
        </w:rPr>
        <w:t>Shipping Containers</w:t>
      </w:r>
      <w:r w:rsidR="009B3159">
        <w:rPr>
          <w:rFonts w:cs="Calibri"/>
          <w:b/>
          <w:sz w:val="28"/>
          <w:szCs w:val="28"/>
        </w:rPr>
        <w:t xml:space="preserve"> and Packaging:</w:t>
      </w:r>
    </w:p>
    <w:p w:rsidR="00B3760B" w:rsidRDefault="00B3760B"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612E9D">
        <w:rPr>
          <w:rFonts w:cs="Calibri"/>
        </w:rPr>
        <w:t>The contractor is responsible for providing shipping containers and transportation which protects these parts from damage from the transportation environment (weather, handling, accidents, etc.).  Mating edges of parts should be especially protected from damage during shipping.</w:t>
      </w:r>
    </w:p>
    <w:p w:rsidR="0001519E" w:rsidRPr="009B3159"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rsidR="009B3159" w:rsidRPr="00612E9D"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rPr>
      </w:pPr>
    </w:p>
    <w:p w:rsidR="00B3760B" w:rsidRPr="00B3760B" w:rsidRDefault="00B3760B" w:rsidP="00B3760B">
      <w:pPr>
        <w:numPr>
          <w:ilvl w:val="1"/>
          <w:numId w:val="13"/>
        </w:numPr>
        <w:rPr>
          <w:rFonts w:cs="Calibri"/>
          <w:b/>
          <w:sz w:val="28"/>
          <w:szCs w:val="28"/>
        </w:rPr>
      </w:pPr>
      <w:r>
        <w:rPr>
          <w:rFonts w:cs="Calibri"/>
          <w:b/>
          <w:sz w:val="28"/>
          <w:szCs w:val="28"/>
        </w:rPr>
        <w:t>Shipping Destination(s):</w:t>
      </w:r>
    </w:p>
    <w:p w:rsidR="00046A4C" w:rsidRPr="00612E9D" w:rsidRDefault="009D1B18" w:rsidP="00046A4C">
      <w:pPr>
        <w:rPr>
          <w:rFonts w:cs="Calibri"/>
        </w:rPr>
      </w:pPr>
      <w:r w:rsidRPr="00612E9D">
        <w:rPr>
          <w:rFonts w:cs="Calibri"/>
        </w:rPr>
        <w:t>T</w:t>
      </w:r>
      <w:r w:rsidR="00046A4C" w:rsidRPr="00612E9D">
        <w:rPr>
          <w:rFonts w:cs="Calibri"/>
        </w:rPr>
        <w:t xml:space="preserve">he deliveries are FOB at these destinations, i.e. </w:t>
      </w:r>
      <w:r w:rsidR="00046A4C" w:rsidRPr="0001519E">
        <w:rPr>
          <w:rFonts w:cs="Calibri"/>
        </w:rPr>
        <w:t xml:space="preserve">the </w:t>
      </w:r>
      <w:r w:rsidR="00DD01A3" w:rsidRPr="0001519E">
        <w:rPr>
          <w:rFonts w:cs="Calibri"/>
        </w:rPr>
        <w:t>Supplier</w:t>
      </w:r>
      <w:r w:rsidR="00046A4C" w:rsidRPr="00612E9D">
        <w:rPr>
          <w:rFonts w:cs="Calibri"/>
        </w:rPr>
        <w:t xml:space="preserve"> has</w:t>
      </w:r>
      <w:r w:rsidR="00DD01A3" w:rsidRPr="00612E9D">
        <w:rPr>
          <w:rFonts w:cs="Calibri"/>
        </w:rPr>
        <w:t xml:space="preserve"> the </w:t>
      </w:r>
      <w:r w:rsidR="00046A4C" w:rsidRPr="00612E9D">
        <w:rPr>
          <w:rFonts w:cs="Calibri"/>
        </w:rPr>
        <w:t>responsibility for shipping title and control of goods until they are delivered and the transportation has been completed. The contractor</w:t>
      </w:r>
      <w:r w:rsidRPr="00612E9D">
        <w:rPr>
          <w:rFonts w:cs="Calibri"/>
        </w:rPr>
        <w:t xml:space="preserve"> </w:t>
      </w:r>
      <w:r w:rsidR="00046A4C" w:rsidRPr="00612E9D">
        <w:rPr>
          <w:rFonts w:cs="Calibri"/>
        </w:rPr>
        <w:t xml:space="preserve">selects the carrier and is responsible for the risk of transportation and for filing claims for loss or </w:t>
      </w:r>
      <w:r w:rsidRPr="00612E9D">
        <w:rPr>
          <w:rFonts w:cs="Calibri"/>
        </w:rPr>
        <w:t>d</w:t>
      </w:r>
      <w:r w:rsidR="00046A4C" w:rsidRPr="00612E9D">
        <w:rPr>
          <w:rFonts w:cs="Calibri"/>
        </w:rPr>
        <w:t>amage.</w:t>
      </w:r>
    </w:p>
    <w:p w:rsidR="00046A4C" w:rsidRPr="00B037FF" w:rsidRDefault="00046A4C" w:rsidP="00046A4C">
      <w:pPr>
        <w:rPr>
          <w:rFonts w:cs="Calibri"/>
        </w:rPr>
      </w:pPr>
    </w:p>
    <w:p w:rsidR="00B045F9" w:rsidRPr="00B3760B" w:rsidRDefault="00B037FF" w:rsidP="00B045F9">
      <w:pPr>
        <w:rPr>
          <w:rFonts w:cs="Calibri"/>
          <w:vanish/>
          <w:color w:val="FF0000"/>
        </w:rPr>
      </w:pPr>
      <w:r w:rsidRPr="00B3760B">
        <w:rPr>
          <w:rFonts w:cs="Calibri"/>
          <w:vanish/>
          <w:color w:val="FF0000"/>
        </w:rPr>
        <w:lastRenderedPageBreak/>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rsidR="00B045F9" w:rsidRDefault="00B045F9" w:rsidP="00B045F9">
      <w:pPr>
        <w:rPr>
          <w:rFonts w:cs="Calibri"/>
        </w:rPr>
      </w:pPr>
      <w:r w:rsidRPr="00612E9D">
        <w:rPr>
          <w:rFonts w:cs="Calibri"/>
        </w:rPr>
        <w:t>The</w:t>
      </w:r>
      <w:r w:rsidR="006455CD" w:rsidRPr="00612E9D">
        <w:rPr>
          <w:rFonts w:cs="Calibri"/>
        </w:rPr>
        <w:t>se items will be shipped to</w:t>
      </w:r>
      <w:r w:rsidRPr="00612E9D">
        <w:rPr>
          <w:rFonts w:cs="Calibri"/>
        </w:rPr>
        <w:t>:</w:t>
      </w:r>
    </w:p>
    <w:p w:rsidR="00B3760B" w:rsidRPr="00612E9D" w:rsidRDefault="00B3760B" w:rsidP="00B045F9">
      <w:pPr>
        <w:rPr>
          <w:rFonts w:cs="Calibri"/>
        </w:rPr>
      </w:pPr>
    </w:p>
    <w:p w:rsidR="006455CD" w:rsidRPr="00612E9D" w:rsidRDefault="006455CD" w:rsidP="006455CD">
      <w:pPr>
        <w:ind w:left="720"/>
        <w:rPr>
          <w:rFonts w:cs="Calibri"/>
        </w:rPr>
      </w:pPr>
      <w:r w:rsidRPr="00B037FF">
        <w:rPr>
          <w:rFonts w:cs="Calibri"/>
          <w:b/>
        </w:rPr>
        <w:t>LIGO Livingston Observatory (LLO)</w:t>
      </w:r>
      <w:r w:rsidR="00B037FF">
        <w:rPr>
          <w:rFonts w:cs="Calibri"/>
          <w:b/>
        </w:rPr>
        <w:tab/>
      </w:r>
      <w:r w:rsidR="00B037FF">
        <w:rPr>
          <w:rFonts w:cs="Calibri"/>
          <w:b/>
        </w:rPr>
        <w:tab/>
      </w:r>
      <w:r w:rsidR="00B037FF" w:rsidRPr="00B037FF">
        <w:rPr>
          <w:rFonts w:cs="Calibri"/>
          <w:b/>
        </w:rPr>
        <w:t>LIGO Hanford Observatory (LHO)</w:t>
      </w:r>
      <w:r w:rsidR="0062072C">
        <w:rPr>
          <w:rFonts w:cs="Calibri"/>
        </w:rPr>
        <w:br/>
        <w:t xml:space="preserve">Attn: </w:t>
      </w:r>
      <w:r w:rsidR="0062072C">
        <w:rPr>
          <w:rFonts w:cs="Calibri"/>
        </w:rPr>
        <w:tab/>
      </w:r>
      <w:r w:rsidR="00E24EC7">
        <w:rPr>
          <w:rFonts w:cs="Calibri"/>
        </w:rPr>
        <w:t>Chris Guido</w:t>
      </w:r>
      <w:r w:rsidR="00257B44">
        <w:rPr>
          <w:rFonts w:cs="Calibri"/>
        </w:rPr>
        <w:t xml:space="preserve"> / Mike Vargas</w:t>
      </w:r>
      <w:r w:rsidR="0062072C">
        <w:rPr>
          <w:rFonts w:cs="Calibri"/>
        </w:rPr>
        <w:tab/>
      </w:r>
      <w:r w:rsidR="0062072C">
        <w:rPr>
          <w:rFonts w:cs="Calibri"/>
        </w:rPr>
        <w:tab/>
      </w:r>
      <w:r w:rsidR="0062072C">
        <w:rPr>
          <w:rFonts w:cs="Calibri"/>
        </w:rPr>
        <w:tab/>
      </w:r>
      <w:r w:rsidR="00E24EC7">
        <w:rPr>
          <w:rFonts w:cs="Calibri"/>
        </w:rPr>
        <w:tab/>
      </w:r>
      <w:r w:rsidR="00B037FF" w:rsidRPr="00612E9D">
        <w:rPr>
          <w:rFonts w:cs="Calibri"/>
        </w:rPr>
        <w:t>At</w:t>
      </w:r>
      <w:r w:rsidR="0062072C">
        <w:rPr>
          <w:rFonts w:cs="Calibri"/>
        </w:rPr>
        <w:t xml:space="preserve">tn: </w:t>
      </w:r>
      <w:r w:rsidR="00E24EC7">
        <w:rPr>
          <w:rFonts w:cs="Calibri"/>
        </w:rPr>
        <w:t xml:space="preserve">Thomas Vo / Terry </w:t>
      </w:r>
      <w:proofErr w:type="spellStart"/>
      <w:r w:rsidR="00E24EC7">
        <w:rPr>
          <w:rFonts w:cs="Calibri"/>
        </w:rPr>
        <w:t>Santini</w:t>
      </w:r>
      <w:proofErr w:type="spellEnd"/>
      <w:r w:rsidRPr="00612E9D">
        <w:rPr>
          <w:rFonts w:cs="Calibri"/>
        </w:rPr>
        <w:br/>
        <w:t xml:space="preserve">19100 LIGO Lane </w:t>
      </w:r>
      <w:r w:rsidR="00B037FF">
        <w:rPr>
          <w:rFonts w:cs="Calibri"/>
        </w:rPr>
        <w:tab/>
      </w:r>
      <w:r w:rsidR="00B037FF">
        <w:rPr>
          <w:rFonts w:cs="Calibri"/>
        </w:rPr>
        <w:tab/>
      </w:r>
      <w:r w:rsidR="00B037FF">
        <w:rPr>
          <w:rFonts w:cs="Calibri"/>
        </w:rPr>
        <w:tab/>
      </w:r>
      <w:r w:rsidR="00B037FF">
        <w:rPr>
          <w:rFonts w:cs="Calibri"/>
        </w:rPr>
        <w:tab/>
      </w:r>
      <w:r w:rsidR="00B037FF" w:rsidRPr="00612E9D">
        <w:rPr>
          <w:rFonts w:cs="Calibri"/>
        </w:rPr>
        <w:t>127124 North Route 10</w:t>
      </w:r>
      <w:r w:rsidRPr="00612E9D">
        <w:rPr>
          <w:rFonts w:cs="Calibri"/>
        </w:rPr>
        <w:br/>
        <w:t xml:space="preserve">Livingston, LA 70754 </w:t>
      </w:r>
      <w:r w:rsidR="00B037FF">
        <w:rPr>
          <w:rFonts w:cs="Calibri"/>
        </w:rPr>
        <w:tab/>
      </w:r>
      <w:r w:rsidR="00B037FF">
        <w:rPr>
          <w:rFonts w:cs="Calibri"/>
        </w:rPr>
        <w:tab/>
      </w:r>
      <w:r w:rsidR="00B037FF">
        <w:rPr>
          <w:rFonts w:cs="Calibri"/>
        </w:rPr>
        <w:tab/>
      </w:r>
      <w:r w:rsidR="00B037FF">
        <w:rPr>
          <w:rFonts w:cs="Calibri"/>
        </w:rPr>
        <w:tab/>
      </w:r>
      <w:r w:rsidR="00B037FF" w:rsidRPr="00612E9D">
        <w:rPr>
          <w:rFonts w:cs="Calibri"/>
        </w:rPr>
        <w:t>Richland, WA  99354</w:t>
      </w:r>
    </w:p>
    <w:p w:rsidR="00AA5DC2" w:rsidRPr="00612E9D" w:rsidRDefault="00AA5DC2" w:rsidP="00AA5DC2">
      <w:pPr>
        <w:ind w:left="720"/>
        <w:rPr>
          <w:rFonts w:cs="Calibri"/>
        </w:rPr>
      </w:pPr>
    </w:p>
    <w:p w:rsidR="00B045F9" w:rsidRPr="00612E9D" w:rsidRDefault="00B045F9" w:rsidP="00AA5DC2">
      <w:pPr>
        <w:ind w:left="720"/>
        <w:rPr>
          <w:rFonts w:cs="Calibri"/>
        </w:rPr>
      </w:pPr>
    </w:p>
    <w:p w:rsidR="00B3760B" w:rsidRPr="00B3760B" w:rsidRDefault="00B3760B" w:rsidP="00B3760B">
      <w:pPr>
        <w:numPr>
          <w:ilvl w:val="1"/>
          <w:numId w:val="13"/>
        </w:numPr>
        <w:rPr>
          <w:rFonts w:cs="Calibri"/>
          <w:b/>
          <w:sz w:val="28"/>
          <w:szCs w:val="28"/>
        </w:rPr>
      </w:pPr>
      <w:r>
        <w:rPr>
          <w:rFonts w:cs="Calibri"/>
          <w:b/>
          <w:sz w:val="28"/>
          <w:szCs w:val="28"/>
        </w:rPr>
        <w:t>Delivery Schedule:</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1578"/>
        <w:gridCol w:w="1630"/>
        <w:gridCol w:w="1710"/>
        <w:gridCol w:w="1640"/>
        <w:gridCol w:w="1870"/>
      </w:tblGrid>
      <w:tr w:rsidR="00DE6280" w:rsidRPr="00C97827" w:rsidTr="00DE6280">
        <w:tc>
          <w:tcPr>
            <w:tcW w:w="482" w:type="dxa"/>
            <w:vMerge w:val="restart"/>
            <w:textDirection w:val="btLr"/>
          </w:tcPr>
          <w:p w:rsidR="00DE6280" w:rsidRPr="00C97827" w:rsidRDefault="00DE6280" w:rsidP="006B7681">
            <w:pPr>
              <w:ind w:left="113" w:right="113"/>
              <w:rPr>
                <w:rFonts w:ascii="Times New Roman" w:hAnsi="Times New Roman" w:cs="Calibri"/>
                <w:b/>
              </w:rPr>
            </w:pPr>
            <w:r w:rsidRPr="00C97827">
              <w:rPr>
                <w:rFonts w:ascii="Times New Roman" w:hAnsi="Times New Roman" w:cs="Calibri"/>
                <w:b/>
              </w:rPr>
              <w:t>Item Num</w:t>
            </w:r>
          </w:p>
        </w:tc>
        <w:tc>
          <w:tcPr>
            <w:tcW w:w="1578" w:type="dxa"/>
            <w:vMerge w:val="restart"/>
          </w:tcPr>
          <w:p w:rsidR="00DE6280" w:rsidRPr="00C97827" w:rsidRDefault="00DE6280" w:rsidP="006B7681">
            <w:pPr>
              <w:pStyle w:val="Default"/>
              <w:ind w:left="113"/>
              <w:rPr>
                <w:rFonts w:eastAsia="Times New Roman"/>
                <w:sz w:val="22"/>
                <w:szCs w:val="22"/>
              </w:rPr>
            </w:pPr>
            <w:r w:rsidRPr="00C97827">
              <w:rPr>
                <w:rFonts w:eastAsia="Times New Roman"/>
                <w:sz w:val="22"/>
                <w:szCs w:val="22"/>
              </w:rPr>
              <w:t xml:space="preserve">Drawing Number </w:t>
            </w:r>
          </w:p>
        </w:tc>
        <w:tc>
          <w:tcPr>
            <w:tcW w:w="1630" w:type="dxa"/>
            <w:vMerge w:val="restart"/>
          </w:tcPr>
          <w:p w:rsidR="00DE6280" w:rsidRPr="00C97827" w:rsidRDefault="00DE6280" w:rsidP="006B7681">
            <w:pPr>
              <w:pStyle w:val="Default"/>
              <w:ind w:left="113"/>
              <w:rPr>
                <w:rFonts w:eastAsia="Times New Roman"/>
                <w:sz w:val="22"/>
                <w:szCs w:val="22"/>
              </w:rPr>
            </w:pPr>
            <w:r w:rsidRPr="00C97827">
              <w:rPr>
                <w:rFonts w:eastAsia="Times New Roman"/>
                <w:sz w:val="22"/>
                <w:szCs w:val="22"/>
              </w:rPr>
              <w:t xml:space="preserve">Description </w:t>
            </w:r>
          </w:p>
        </w:tc>
        <w:tc>
          <w:tcPr>
            <w:tcW w:w="1710" w:type="dxa"/>
            <w:vMerge w:val="restart"/>
            <w:textDirection w:val="btLr"/>
          </w:tcPr>
          <w:p w:rsidR="00DE6280" w:rsidRPr="00C97827" w:rsidRDefault="00DE6280" w:rsidP="006B7681">
            <w:pPr>
              <w:pStyle w:val="Default"/>
              <w:ind w:left="113" w:right="113"/>
              <w:rPr>
                <w:rFonts w:eastAsia="Times New Roman"/>
                <w:sz w:val="18"/>
                <w:szCs w:val="18"/>
              </w:rPr>
            </w:pPr>
            <w:r>
              <w:rPr>
                <w:rFonts w:eastAsia="Times New Roman"/>
                <w:sz w:val="18"/>
                <w:szCs w:val="18"/>
              </w:rPr>
              <w:t>ASSEMBLY</w:t>
            </w:r>
            <w:r w:rsidRPr="00C97827">
              <w:rPr>
                <w:rFonts w:eastAsia="Times New Roman"/>
                <w:sz w:val="18"/>
                <w:szCs w:val="18"/>
              </w:rPr>
              <w:t xml:space="preserve"> "D" NUMBER COMPONENTS BOM </w:t>
            </w:r>
          </w:p>
        </w:tc>
        <w:tc>
          <w:tcPr>
            <w:tcW w:w="3510" w:type="dxa"/>
            <w:gridSpan w:val="2"/>
          </w:tcPr>
          <w:p w:rsidR="00DE6280" w:rsidRPr="00C97827" w:rsidRDefault="00DE6280" w:rsidP="006B7681">
            <w:pPr>
              <w:pStyle w:val="Default"/>
              <w:ind w:left="113"/>
              <w:rPr>
                <w:rFonts w:eastAsia="Times New Roman"/>
                <w:sz w:val="20"/>
                <w:szCs w:val="20"/>
              </w:rPr>
            </w:pPr>
            <w:r w:rsidRPr="00C97827">
              <w:rPr>
                <w:rFonts w:eastAsia="Times New Roman"/>
                <w:b/>
                <w:bCs/>
                <w:sz w:val="20"/>
                <w:szCs w:val="20"/>
              </w:rPr>
              <w:t xml:space="preserve">ASSEMBLY DELIVERY QUANTITIES &amp; SCHEDULE </w:t>
            </w:r>
          </w:p>
        </w:tc>
      </w:tr>
      <w:tr w:rsidR="00DE6280" w:rsidRPr="00C97827" w:rsidTr="00DE6280">
        <w:tc>
          <w:tcPr>
            <w:tcW w:w="482" w:type="dxa"/>
            <w:vMerge/>
          </w:tcPr>
          <w:p w:rsidR="00DE6280" w:rsidRPr="00C97827" w:rsidRDefault="00DE6280" w:rsidP="006B7681">
            <w:pPr>
              <w:ind w:left="113"/>
              <w:rPr>
                <w:rFonts w:ascii="Times New Roman" w:hAnsi="Times New Roman" w:cs="Calibri"/>
                <w:b/>
              </w:rPr>
            </w:pPr>
          </w:p>
        </w:tc>
        <w:tc>
          <w:tcPr>
            <w:tcW w:w="1578" w:type="dxa"/>
            <w:vMerge/>
          </w:tcPr>
          <w:p w:rsidR="00DE6280" w:rsidRPr="00C97827" w:rsidRDefault="00DE6280" w:rsidP="006B7681">
            <w:pPr>
              <w:ind w:left="113"/>
              <w:rPr>
                <w:rFonts w:ascii="Times New Roman" w:hAnsi="Times New Roman" w:cs="Calibri"/>
                <w:b/>
              </w:rPr>
            </w:pPr>
          </w:p>
        </w:tc>
        <w:tc>
          <w:tcPr>
            <w:tcW w:w="1630" w:type="dxa"/>
            <w:vMerge/>
          </w:tcPr>
          <w:p w:rsidR="00DE6280" w:rsidRPr="00C97827" w:rsidRDefault="00DE6280" w:rsidP="006B7681">
            <w:pPr>
              <w:ind w:left="113"/>
              <w:rPr>
                <w:rFonts w:ascii="Times New Roman" w:hAnsi="Times New Roman" w:cs="Calibri"/>
                <w:b/>
              </w:rPr>
            </w:pPr>
          </w:p>
        </w:tc>
        <w:tc>
          <w:tcPr>
            <w:tcW w:w="1710" w:type="dxa"/>
            <w:vMerge/>
          </w:tcPr>
          <w:p w:rsidR="00DE6280" w:rsidRPr="00C97827" w:rsidRDefault="00DE6280" w:rsidP="006B7681">
            <w:pPr>
              <w:ind w:left="113"/>
              <w:rPr>
                <w:rFonts w:ascii="Times New Roman" w:hAnsi="Times New Roman" w:cs="Calibri"/>
                <w:b/>
              </w:rPr>
            </w:pPr>
          </w:p>
        </w:tc>
        <w:tc>
          <w:tcPr>
            <w:tcW w:w="1640" w:type="dxa"/>
          </w:tcPr>
          <w:p w:rsidR="00DE6280" w:rsidRPr="00C97827" w:rsidRDefault="00DE6280" w:rsidP="006B7681">
            <w:pPr>
              <w:pStyle w:val="Default"/>
              <w:ind w:left="113"/>
              <w:rPr>
                <w:rFonts w:eastAsia="Times New Roman"/>
                <w:sz w:val="22"/>
                <w:szCs w:val="22"/>
              </w:rPr>
            </w:pPr>
            <w:r w:rsidRPr="00C97827">
              <w:rPr>
                <w:rFonts w:eastAsia="Times New Roman"/>
                <w:sz w:val="22"/>
                <w:szCs w:val="22"/>
              </w:rPr>
              <w:t>LIGO Hanford</w:t>
            </w:r>
            <w:r>
              <w:rPr>
                <w:rFonts w:eastAsia="Times New Roman"/>
                <w:sz w:val="22"/>
                <w:szCs w:val="22"/>
              </w:rPr>
              <w:t>,</w:t>
            </w:r>
            <w:r w:rsidRPr="00C97827">
              <w:rPr>
                <w:rFonts w:eastAsia="Times New Roman"/>
                <w:sz w:val="22"/>
                <w:szCs w:val="22"/>
              </w:rPr>
              <w:t xml:space="preserve"> WA </w:t>
            </w:r>
          </w:p>
        </w:tc>
        <w:tc>
          <w:tcPr>
            <w:tcW w:w="1870" w:type="dxa"/>
          </w:tcPr>
          <w:p w:rsidR="00DE6280" w:rsidRPr="00C97827" w:rsidRDefault="00DE6280" w:rsidP="006B7681">
            <w:pPr>
              <w:pStyle w:val="Default"/>
              <w:ind w:left="113"/>
              <w:rPr>
                <w:rFonts w:eastAsia="Times New Roman"/>
                <w:sz w:val="22"/>
                <w:szCs w:val="22"/>
              </w:rPr>
            </w:pPr>
            <w:r w:rsidRPr="00C97827">
              <w:rPr>
                <w:rFonts w:eastAsia="Times New Roman"/>
                <w:sz w:val="22"/>
                <w:szCs w:val="22"/>
              </w:rPr>
              <w:t xml:space="preserve">LIGO Livingston, LA </w:t>
            </w:r>
          </w:p>
        </w:tc>
      </w:tr>
      <w:tr w:rsidR="00DE6280" w:rsidRPr="00BB285E" w:rsidTr="00DE6280">
        <w:trPr>
          <w:trHeight w:val="476"/>
        </w:trPr>
        <w:tc>
          <w:tcPr>
            <w:tcW w:w="482" w:type="dxa"/>
            <w:vMerge/>
          </w:tcPr>
          <w:p w:rsidR="00DE6280" w:rsidRPr="00C97827" w:rsidRDefault="00DE6280" w:rsidP="006B7681">
            <w:pPr>
              <w:ind w:left="113"/>
              <w:rPr>
                <w:rFonts w:ascii="Times New Roman" w:hAnsi="Times New Roman" w:cs="Calibri"/>
                <w:b/>
              </w:rPr>
            </w:pPr>
          </w:p>
        </w:tc>
        <w:tc>
          <w:tcPr>
            <w:tcW w:w="1578" w:type="dxa"/>
            <w:vMerge/>
          </w:tcPr>
          <w:p w:rsidR="00DE6280" w:rsidRPr="00C97827" w:rsidRDefault="00DE6280" w:rsidP="006B7681">
            <w:pPr>
              <w:ind w:left="113"/>
              <w:rPr>
                <w:rFonts w:ascii="Times New Roman" w:hAnsi="Times New Roman" w:cs="Calibri"/>
                <w:b/>
              </w:rPr>
            </w:pPr>
          </w:p>
        </w:tc>
        <w:tc>
          <w:tcPr>
            <w:tcW w:w="1630" w:type="dxa"/>
            <w:vMerge/>
          </w:tcPr>
          <w:p w:rsidR="00DE6280" w:rsidRPr="00C97827" w:rsidRDefault="00DE6280" w:rsidP="006B7681">
            <w:pPr>
              <w:ind w:left="113"/>
              <w:rPr>
                <w:rFonts w:ascii="Times New Roman" w:hAnsi="Times New Roman" w:cs="Calibri"/>
                <w:b/>
              </w:rPr>
            </w:pPr>
          </w:p>
        </w:tc>
        <w:tc>
          <w:tcPr>
            <w:tcW w:w="1710" w:type="dxa"/>
            <w:vMerge/>
          </w:tcPr>
          <w:p w:rsidR="00DE6280" w:rsidRPr="00C97827" w:rsidRDefault="00DE6280" w:rsidP="006B7681">
            <w:pPr>
              <w:ind w:left="113"/>
              <w:rPr>
                <w:rFonts w:ascii="Times New Roman" w:hAnsi="Times New Roman" w:cs="Calibri"/>
                <w:b/>
              </w:rPr>
            </w:pPr>
          </w:p>
        </w:tc>
        <w:tc>
          <w:tcPr>
            <w:tcW w:w="1640" w:type="dxa"/>
          </w:tcPr>
          <w:p w:rsidR="00DE6280" w:rsidRPr="00BB285E" w:rsidRDefault="00DE6280" w:rsidP="00154071">
            <w:pPr>
              <w:ind w:left="113"/>
              <w:rPr>
                <w:rFonts w:ascii="Times New Roman" w:hAnsi="Times New Roman" w:cs="Calibri"/>
                <w:highlight w:val="yellow"/>
              </w:rPr>
            </w:pPr>
            <w:r w:rsidRPr="00BB285E">
              <w:rPr>
                <w:rFonts w:ascii="Times New Roman" w:hAnsi="Times New Roman" w:cs="Calibri"/>
              </w:rPr>
              <w:t>Ju</w:t>
            </w:r>
            <w:r>
              <w:rPr>
                <w:rFonts w:ascii="Times New Roman" w:hAnsi="Times New Roman" w:cs="Calibri"/>
              </w:rPr>
              <w:t>ly</w:t>
            </w:r>
            <w:r w:rsidRPr="00BB285E">
              <w:rPr>
                <w:rFonts w:ascii="Times New Roman" w:hAnsi="Times New Roman" w:cs="Calibri"/>
              </w:rPr>
              <w:t xml:space="preserve"> </w:t>
            </w:r>
            <w:r>
              <w:rPr>
                <w:rFonts w:ascii="Times New Roman" w:hAnsi="Times New Roman" w:cs="Calibri"/>
              </w:rPr>
              <w:t>2</w:t>
            </w:r>
            <w:r w:rsidRPr="00BB285E">
              <w:rPr>
                <w:rFonts w:ascii="Times New Roman" w:hAnsi="Times New Roman" w:cs="Calibri"/>
              </w:rPr>
              <w:t>, 2012</w:t>
            </w:r>
          </w:p>
        </w:tc>
        <w:tc>
          <w:tcPr>
            <w:tcW w:w="1870" w:type="dxa"/>
          </w:tcPr>
          <w:p w:rsidR="00DE6280" w:rsidRPr="00BB285E" w:rsidRDefault="00DE6280" w:rsidP="00154071">
            <w:pPr>
              <w:ind w:left="113"/>
              <w:rPr>
                <w:rFonts w:ascii="Times New Roman" w:hAnsi="Times New Roman" w:cs="Calibri"/>
                <w:highlight w:val="yellow"/>
              </w:rPr>
            </w:pPr>
            <w:r w:rsidRPr="00BB285E">
              <w:rPr>
                <w:rFonts w:ascii="Times New Roman" w:hAnsi="Times New Roman" w:cs="Calibri"/>
              </w:rPr>
              <w:t xml:space="preserve">July </w:t>
            </w:r>
            <w:r>
              <w:rPr>
                <w:rFonts w:ascii="Times New Roman" w:hAnsi="Times New Roman" w:cs="Calibri"/>
              </w:rPr>
              <w:t>16</w:t>
            </w:r>
            <w:r w:rsidRPr="00BB285E">
              <w:rPr>
                <w:rFonts w:ascii="Times New Roman" w:hAnsi="Times New Roman" w:cs="Calibri"/>
              </w:rPr>
              <w:t>, 2012</w:t>
            </w:r>
          </w:p>
        </w:tc>
      </w:tr>
      <w:tr w:rsidR="00DE6280" w:rsidRPr="00A3701B" w:rsidTr="00DE6280">
        <w:tc>
          <w:tcPr>
            <w:tcW w:w="482" w:type="dxa"/>
          </w:tcPr>
          <w:p w:rsidR="00DE6280" w:rsidRPr="00C97827" w:rsidRDefault="00DE6280" w:rsidP="006B7681">
            <w:pPr>
              <w:ind w:left="113"/>
              <w:rPr>
                <w:rFonts w:ascii="Times New Roman" w:hAnsi="Times New Roman" w:cs="Calibri"/>
              </w:rPr>
            </w:pPr>
            <w:r w:rsidRPr="00C97827">
              <w:rPr>
                <w:rFonts w:ascii="Times New Roman" w:hAnsi="Times New Roman" w:cs="Calibri"/>
              </w:rPr>
              <w:t>1</w:t>
            </w:r>
          </w:p>
        </w:tc>
        <w:tc>
          <w:tcPr>
            <w:tcW w:w="1578" w:type="dxa"/>
          </w:tcPr>
          <w:p w:rsidR="00DE6280" w:rsidRPr="004D247F" w:rsidRDefault="00DE6280" w:rsidP="00DE0323">
            <w:pPr>
              <w:ind w:left="113"/>
              <w:rPr>
                <w:rFonts w:ascii="Times New Roman" w:hAnsi="Times New Roman" w:cs="Calibri"/>
              </w:rPr>
            </w:pPr>
            <w:hyperlink r:id="rId17" w:history="1">
              <w:r w:rsidRPr="004D247F">
                <w:rPr>
                  <w:rStyle w:val="Hyperlink"/>
                </w:rPr>
                <w:t>D1200463-v1</w:t>
              </w:r>
            </w:hyperlink>
          </w:p>
        </w:tc>
        <w:tc>
          <w:tcPr>
            <w:tcW w:w="1630" w:type="dxa"/>
            <w:vAlign w:val="center"/>
          </w:tcPr>
          <w:p w:rsidR="00DE6280" w:rsidRPr="004D247F" w:rsidRDefault="00DE6280" w:rsidP="00F54A67">
            <w:pPr>
              <w:rPr>
                <w:rFonts w:cs="Calibri"/>
              </w:rPr>
            </w:pPr>
            <w:proofErr w:type="spellStart"/>
            <w:r w:rsidRPr="004D247F">
              <w:t>OpLev</w:t>
            </w:r>
            <w:proofErr w:type="spellEnd"/>
            <w:r w:rsidRPr="004D247F">
              <w:t xml:space="preserve"> </w:t>
            </w:r>
            <w:proofErr w:type="spellStart"/>
            <w:r w:rsidRPr="004D247F">
              <w:t>Xcvr</w:t>
            </w:r>
            <w:proofErr w:type="spellEnd"/>
            <w:r w:rsidRPr="004D247F">
              <w:t xml:space="preserve"> Enclosure Assy.</w:t>
            </w:r>
          </w:p>
        </w:tc>
        <w:tc>
          <w:tcPr>
            <w:tcW w:w="1710" w:type="dxa"/>
          </w:tcPr>
          <w:p w:rsidR="00DE6280" w:rsidRPr="004D247F" w:rsidRDefault="00DE6280" w:rsidP="00F76E6A">
            <w:pPr>
              <w:ind w:left="113"/>
            </w:pPr>
            <w:hyperlink r:id="rId18" w:history="1">
              <w:r w:rsidRPr="004D247F">
                <w:rPr>
                  <w:rStyle w:val="Hyperlink"/>
                </w:rPr>
                <w:t>D1200463-101</w:t>
              </w:r>
            </w:hyperlink>
          </w:p>
          <w:p w:rsidR="00DE6280" w:rsidRPr="004D247F" w:rsidRDefault="00DE6280" w:rsidP="00F76E6A">
            <w:pPr>
              <w:ind w:left="113"/>
            </w:pPr>
            <w:hyperlink r:id="rId19" w:history="1">
              <w:r w:rsidRPr="004D247F">
                <w:rPr>
                  <w:rStyle w:val="Hyperlink"/>
                </w:rPr>
                <w:t>D1200463-102</w:t>
              </w:r>
            </w:hyperlink>
          </w:p>
          <w:p w:rsidR="00DE6280" w:rsidRPr="004D247F" w:rsidRDefault="00DE6280" w:rsidP="00F76E6A">
            <w:pPr>
              <w:ind w:left="113"/>
              <w:rPr>
                <w:rFonts w:ascii="Times New Roman" w:hAnsi="Times New Roman" w:cs="Calibri"/>
                <w:sz w:val="20"/>
                <w:szCs w:val="20"/>
              </w:rPr>
            </w:pPr>
            <w:hyperlink r:id="rId20" w:history="1">
              <w:r w:rsidRPr="004D247F">
                <w:rPr>
                  <w:rStyle w:val="Hyperlink"/>
                </w:rPr>
                <w:t>D1200463-103</w:t>
              </w:r>
            </w:hyperlink>
          </w:p>
        </w:tc>
        <w:tc>
          <w:tcPr>
            <w:tcW w:w="1640" w:type="dxa"/>
          </w:tcPr>
          <w:p w:rsidR="00DE6280" w:rsidRPr="00A3701B" w:rsidRDefault="00DE6280" w:rsidP="006B7681">
            <w:pPr>
              <w:ind w:left="113"/>
              <w:rPr>
                <w:rFonts w:ascii="Times New Roman" w:hAnsi="Times New Roman" w:cs="Calibri"/>
              </w:rPr>
            </w:pPr>
            <w:r>
              <w:rPr>
                <w:rFonts w:ascii="Times New Roman" w:hAnsi="Times New Roman" w:cs="Calibri"/>
              </w:rPr>
              <w:t>10</w:t>
            </w:r>
          </w:p>
        </w:tc>
        <w:tc>
          <w:tcPr>
            <w:tcW w:w="1870" w:type="dxa"/>
          </w:tcPr>
          <w:p w:rsidR="00DE6280" w:rsidRPr="00A3701B" w:rsidRDefault="00DE6280" w:rsidP="006B7681">
            <w:pPr>
              <w:ind w:left="113"/>
              <w:rPr>
                <w:rFonts w:ascii="Times New Roman" w:hAnsi="Times New Roman" w:cs="Calibri"/>
              </w:rPr>
            </w:pPr>
            <w:r>
              <w:rPr>
                <w:rFonts w:ascii="Times New Roman" w:hAnsi="Times New Roman" w:cs="Calibri"/>
              </w:rPr>
              <w:t>5</w:t>
            </w:r>
          </w:p>
        </w:tc>
      </w:tr>
      <w:tr w:rsidR="00DE6280" w:rsidRPr="00A3701B" w:rsidTr="00DE6280">
        <w:tc>
          <w:tcPr>
            <w:tcW w:w="482" w:type="dxa"/>
          </w:tcPr>
          <w:p w:rsidR="00DE6280" w:rsidRPr="00C97827" w:rsidRDefault="00DE6280" w:rsidP="006B7681">
            <w:pPr>
              <w:ind w:left="113"/>
              <w:rPr>
                <w:rFonts w:ascii="Times New Roman" w:hAnsi="Times New Roman" w:cs="Calibri"/>
              </w:rPr>
            </w:pPr>
            <w:r>
              <w:rPr>
                <w:rFonts w:ascii="Times New Roman" w:hAnsi="Times New Roman" w:cs="Calibri"/>
              </w:rPr>
              <w:t>2</w:t>
            </w:r>
          </w:p>
        </w:tc>
        <w:tc>
          <w:tcPr>
            <w:tcW w:w="1578" w:type="dxa"/>
          </w:tcPr>
          <w:p w:rsidR="00DE6280" w:rsidRPr="00D86798" w:rsidRDefault="00DE6280" w:rsidP="00DE0323">
            <w:pPr>
              <w:ind w:left="113"/>
              <w:rPr>
                <w:rFonts w:ascii="Times New Roman" w:hAnsi="Times New Roman" w:cs="Calibri"/>
              </w:rPr>
            </w:pPr>
            <w:hyperlink r:id="rId21" w:history="1">
              <w:r w:rsidRPr="00D86798">
                <w:rPr>
                  <w:rStyle w:val="Hyperlink"/>
                </w:rPr>
                <w:t>D1100209-v2</w:t>
              </w:r>
            </w:hyperlink>
          </w:p>
        </w:tc>
        <w:tc>
          <w:tcPr>
            <w:tcW w:w="1630" w:type="dxa"/>
            <w:vAlign w:val="center"/>
          </w:tcPr>
          <w:p w:rsidR="00DE6280" w:rsidRPr="00D86798" w:rsidRDefault="00DE6280" w:rsidP="00F54A67">
            <w:pPr>
              <w:rPr>
                <w:rFonts w:cs="Calibri"/>
              </w:rPr>
            </w:pPr>
            <w:proofErr w:type="spellStart"/>
            <w:r w:rsidRPr="00D86798">
              <w:t>OpLev</w:t>
            </w:r>
            <w:proofErr w:type="spellEnd"/>
            <w:r w:rsidRPr="00D86798">
              <w:t xml:space="preserve"> </w:t>
            </w:r>
            <w:proofErr w:type="spellStart"/>
            <w:r w:rsidRPr="00D86798">
              <w:t>Xmtr</w:t>
            </w:r>
            <w:proofErr w:type="spellEnd"/>
            <w:r w:rsidRPr="00D86798">
              <w:t xml:space="preserve"> Enclosure Assy.</w:t>
            </w:r>
          </w:p>
        </w:tc>
        <w:tc>
          <w:tcPr>
            <w:tcW w:w="1710" w:type="dxa"/>
          </w:tcPr>
          <w:p w:rsidR="00DE6280" w:rsidRPr="00D86798" w:rsidRDefault="00DE6280" w:rsidP="00154071">
            <w:pPr>
              <w:ind w:left="113"/>
            </w:pPr>
            <w:hyperlink r:id="rId22" w:history="1">
              <w:r w:rsidRPr="00D86798">
                <w:rPr>
                  <w:rStyle w:val="Hyperlink"/>
                </w:rPr>
                <w:t>D1100209-101</w:t>
              </w:r>
            </w:hyperlink>
          </w:p>
          <w:p w:rsidR="00DE6280" w:rsidRPr="00D86798" w:rsidRDefault="00DE6280" w:rsidP="00154071">
            <w:pPr>
              <w:ind w:left="113"/>
            </w:pPr>
            <w:hyperlink r:id="rId23" w:history="1">
              <w:r w:rsidRPr="00D86798">
                <w:rPr>
                  <w:rStyle w:val="Hyperlink"/>
                </w:rPr>
                <w:t>D1100209-102</w:t>
              </w:r>
            </w:hyperlink>
          </w:p>
          <w:p w:rsidR="00DE6280" w:rsidRPr="00D86798" w:rsidRDefault="00DE6280" w:rsidP="00154071">
            <w:pPr>
              <w:ind w:left="113"/>
              <w:rPr>
                <w:rFonts w:ascii="Times New Roman" w:hAnsi="Times New Roman" w:cs="Calibri"/>
              </w:rPr>
            </w:pPr>
            <w:hyperlink r:id="rId24" w:history="1">
              <w:r w:rsidRPr="00D86798">
                <w:rPr>
                  <w:rStyle w:val="Hyperlink"/>
                </w:rPr>
                <w:t>D1100209-103</w:t>
              </w:r>
            </w:hyperlink>
          </w:p>
        </w:tc>
        <w:tc>
          <w:tcPr>
            <w:tcW w:w="1640" w:type="dxa"/>
          </w:tcPr>
          <w:p w:rsidR="00DE6280" w:rsidRPr="00A3701B" w:rsidRDefault="00DE6280" w:rsidP="006B7681">
            <w:pPr>
              <w:ind w:left="113"/>
              <w:rPr>
                <w:rFonts w:ascii="Times New Roman" w:hAnsi="Times New Roman" w:cs="Calibri"/>
              </w:rPr>
            </w:pPr>
            <w:r>
              <w:rPr>
                <w:rFonts w:ascii="Times New Roman" w:hAnsi="Times New Roman" w:cs="Calibri"/>
              </w:rPr>
              <w:t>12</w:t>
            </w:r>
          </w:p>
        </w:tc>
        <w:tc>
          <w:tcPr>
            <w:tcW w:w="1870" w:type="dxa"/>
          </w:tcPr>
          <w:p w:rsidR="00DE6280" w:rsidRPr="00A3701B" w:rsidRDefault="00DE6280" w:rsidP="006B7681">
            <w:pPr>
              <w:ind w:left="113"/>
              <w:rPr>
                <w:rFonts w:ascii="Times New Roman" w:hAnsi="Times New Roman" w:cs="Calibri"/>
              </w:rPr>
            </w:pPr>
            <w:r>
              <w:rPr>
                <w:rFonts w:ascii="Times New Roman" w:hAnsi="Times New Roman" w:cs="Calibri"/>
              </w:rPr>
              <w:t>6</w:t>
            </w:r>
          </w:p>
        </w:tc>
      </w:tr>
    </w:tbl>
    <w:p w:rsidR="00964ABD" w:rsidRPr="005D4B03" w:rsidRDefault="005D4B03" w:rsidP="005D4B03">
      <w:pPr>
        <w:pStyle w:val="Caption"/>
        <w:rPr>
          <w:rFonts w:cs="Calibri"/>
          <w:color w:val="auto"/>
          <w:sz w:val="24"/>
          <w:szCs w:val="24"/>
        </w:rPr>
      </w:pPr>
      <w:r w:rsidRPr="005D4B03">
        <w:rPr>
          <w:color w:val="auto"/>
          <w:sz w:val="24"/>
          <w:szCs w:val="24"/>
        </w:rPr>
        <w:t xml:space="preserve">Table </w:t>
      </w:r>
      <w:r w:rsidR="007675AF" w:rsidRPr="005D4B03">
        <w:rPr>
          <w:color w:val="auto"/>
          <w:sz w:val="24"/>
          <w:szCs w:val="24"/>
        </w:rPr>
        <w:fldChar w:fldCharType="begin"/>
      </w:r>
      <w:r w:rsidRPr="005D4B03">
        <w:rPr>
          <w:color w:val="auto"/>
          <w:sz w:val="24"/>
          <w:szCs w:val="24"/>
        </w:rPr>
        <w:instrText xml:space="preserve"> SEQ Table \* ARABIC </w:instrText>
      </w:r>
      <w:r w:rsidR="007675AF" w:rsidRPr="005D4B03">
        <w:rPr>
          <w:color w:val="auto"/>
          <w:sz w:val="24"/>
          <w:szCs w:val="24"/>
        </w:rPr>
        <w:fldChar w:fldCharType="separate"/>
      </w:r>
      <w:r w:rsidRPr="005D4B03">
        <w:rPr>
          <w:noProof/>
          <w:color w:val="auto"/>
          <w:sz w:val="24"/>
          <w:szCs w:val="24"/>
        </w:rPr>
        <w:t>2</w:t>
      </w:r>
      <w:r w:rsidR="007675AF" w:rsidRPr="005D4B03">
        <w:rPr>
          <w:color w:val="auto"/>
          <w:sz w:val="24"/>
          <w:szCs w:val="24"/>
        </w:rPr>
        <w:fldChar w:fldCharType="end"/>
      </w:r>
    </w:p>
    <w:p w:rsidR="00EB7551" w:rsidRPr="00CC7F68" w:rsidRDefault="00EB7551" w:rsidP="00EB7551">
      <w:pPr>
        <w:ind w:left="720"/>
        <w:rPr>
          <w:rFonts w:cs="Calibri"/>
          <w:vanish/>
          <w:color w:val="FF0000"/>
        </w:rPr>
      </w:pPr>
      <w:r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Pr="00CC7F68">
        <w:rPr>
          <w:rFonts w:cs="Calibri"/>
          <w:vanish/>
          <w:color w:val="FF0000"/>
        </w:rPr>
        <w:t>the shipping destination</w:t>
      </w:r>
      <w:r w:rsidR="00595D61">
        <w:rPr>
          <w:rFonts w:cs="Calibri"/>
          <w:vanish/>
          <w:color w:val="FF0000"/>
        </w:rPr>
        <w:t xml:space="preserve"> (i.e. LLO)</w:t>
      </w:r>
      <w:r w:rsidRPr="00CC7F68">
        <w:rPr>
          <w:rFonts w:cs="Calibri"/>
          <w:vanish/>
          <w:color w:val="FF0000"/>
        </w:rPr>
        <w:t xml:space="preserve">.  </w:t>
      </w:r>
    </w:p>
    <w:p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7042B8">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DF6" w:rsidRDefault="00AD4DF6" w:rsidP="00CE4A37">
      <w:r>
        <w:separator/>
      </w:r>
    </w:p>
  </w:endnote>
  <w:endnote w:type="continuationSeparator" w:id="0">
    <w:p w:rsidR="00AD4DF6" w:rsidRDefault="00AD4DF6" w:rsidP="00CE4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6B" w:rsidRPr="001E6A5E" w:rsidRDefault="007675AF" w:rsidP="00523332">
    <w:pPr>
      <w:pStyle w:val="Footer"/>
      <w:tabs>
        <w:tab w:val="clear" w:pos="9360"/>
        <w:tab w:val="left" w:pos="7380"/>
        <w:tab w:val="right" w:pos="8820"/>
      </w:tabs>
      <w:rPr>
        <w:rFonts w:ascii="Times New Roman" w:hAnsi="Times New Roman"/>
      </w:rPr>
    </w:pPr>
    <w:r w:rsidRPr="001E6A5E">
      <w:rPr>
        <w:rStyle w:val="PageNumber"/>
        <w:rFonts w:ascii="Times New Roman" w:hAnsi="Times New Roman"/>
      </w:rPr>
      <w:fldChar w:fldCharType="begin"/>
    </w:r>
    <w:r w:rsidR="0056236B"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DE6280">
      <w:rPr>
        <w:rStyle w:val="PageNumber"/>
        <w:rFonts w:ascii="Times New Roman" w:hAnsi="Times New Roman"/>
        <w:noProof/>
      </w:rPr>
      <w:t>3</w:t>
    </w:r>
    <w:r w:rsidRPr="001E6A5E">
      <w:rPr>
        <w:rStyle w:val="PageNumber"/>
        <w:rFonts w:ascii="Times New Roman" w:hAnsi="Times New Roman"/>
      </w:rPr>
      <w:fldChar w:fldCharType="end"/>
    </w:r>
    <w:r w:rsidR="0056236B" w:rsidRPr="001E6A5E">
      <w:rPr>
        <w:rStyle w:val="PageNumber"/>
        <w:rFonts w:ascii="Times New Roman" w:hAnsi="Times New Roman"/>
      </w:rPr>
      <w:t xml:space="preserve"> of </w:t>
    </w:r>
    <w:r w:rsidRPr="001E6A5E">
      <w:rPr>
        <w:rStyle w:val="PageNumber"/>
        <w:rFonts w:ascii="Times New Roman" w:hAnsi="Times New Roman"/>
      </w:rPr>
      <w:fldChar w:fldCharType="begin"/>
    </w:r>
    <w:r w:rsidR="0056236B"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DE6280">
      <w:rPr>
        <w:rStyle w:val="PageNumber"/>
        <w:rFonts w:ascii="Times New Roman" w:hAnsi="Times New Roman"/>
        <w:noProof/>
      </w:rPr>
      <w:t>3</w:t>
    </w:r>
    <w:r w:rsidRPr="001E6A5E">
      <w:rPr>
        <w:rStyle w:val="PageNumber"/>
        <w:rFonts w:ascii="Times New Roman" w:hAnsi="Times New Roman"/>
      </w:rPr>
      <w:fldChar w:fldCharType="end"/>
    </w:r>
    <w:r w:rsidR="00DE3F2C">
      <w:rPr>
        <w:rStyle w:val="PageNumber"/>
      </w:rPr>
      <w:tab/>
    </w:r>
    <w:r w:rsidR="00523332">
      <w:rPr>
        <w:rStyle w:val="PageNumber"/>
      </w:rPr>
      <w:t xml:space="preserve"> </w:t>
    </w:r>
    <w:r w:rsidR="00523332" w:rsidRPr="00523332">
      <w:rPr>
        <w:rStyle w:val="PageNumber"/>
        <w:vanish/>
        <w:color w:val="FF0000"/>
      </w:rPr>
      <w:t>(Edit the footer</w:t>
    </w:r>
    <w:r w:rsidR="00523332">
      <w:rPr>
        <w:rStyle w:val="PageNumber"/>
        <w:vanish/>
        <w:color w:val="FF0000"/>
      </w:rPr>
      <w:t xml:space="preserve"> to the correct DCC#</w:t>
    </w:r>
    <w:r w:rsidR="00523332" w:rsidRPr="00523332">
      <w:rPr>
        <w:rStyle w:val="PageNumber"/>
        <w:vanish/>
        <w:color w:val="FF0000"/>
      </w:rPr>
      <w:t>)</w:t>
    </w:r>
    <w:r w:rsidR="00523332" w:rsidRPr="00523332">
      <w:rPr>
        <w:rStyle w:val="PageNumber"/>
        <w:vanish/>
      </w:rPr>
      <w:t xml:space="preserve"> </w:t>
    </w:r>
    <w:r w:rsidR="0056236B" w:rsidRPr="00612E9D">
      <w:rPr>
        <w:rStyle w:val="PageNumber"/>
        <w:rFonts w:ascii="Times New Roman" w:hAnsi="Times New Roman"/>
        <w:color w:val="000000"/>
        <w:sz w:val="24"/>
        <w:szCs w:val="24"/>
      </w:rPr>
      <w:t>LIGO</w:t>
    </w:r>
    <w:r w:rsidR="0056236B" w:rsidRPr="00612E9D">
      <w:rPr>
        <w:rStyle w:val="PageNumber"/>
        <w:rFonts w:ascii="Times New Roman" w:hAnsi="Times New Roman"/>
        <w:b/>
        <w:color w:val="000000"/>
        <w:sz w:val="24"/>
        <w:szCs w:val="24"/>
      </w:rPr>
      <w:t>-</w:t>
    </w:r>
    <w:r w:rsidR="00E30F58" w:rsidRPr="00612E9D">
      <w:rPr>
        <w:rFonts w:ascii="Times New Roman" w:hAnsi="Times New Roman"/>
        <w:bCs/>
        <w:color w:val="000000"/>
        <w:sz w:val="24"/>
        <w:szCs w:val="24"/>
      </w:rPr>
      <w:t>C</w:t>
    </w:r>
    <w:r w:rsidR="00726C18" w:rsidRPr="00612E9D">
      <w:rPr>
        <w:rFonts w:ascii="Times New Roman" w:hAnsi="Times New Roman"/>
        <w:bCs/>
        <w:color w:val="000000"/>
        <w:sz w:val="24"/>
        <w:szCs w:val="24"/>
      </w:rPr>
      <w:t>1</w:t>
    </w:r>
    <w:r w:rsidR="00B909A2">
      <w:rPr>
        <w:rFonts w:ascii="Times New Roman" w:hAnsi="Times New Roman"/>
        <w:bCs/>
        <w:color w:val="000000"/>
        <w:sz w:val="24"/>
        <w:szCs w:val="24"/>
      </w:rPr>
      <w:t>20</w:t>
    </w:r>
    <w:r w:rsidR="00D85D20">
      <w:rPr>
        <w:rFonts w:ascii="Times New Roman" w:hAnsi="Times New Roman"/>
        <w:bCs/>
        <w:color w:val="000000"/>
        <w:sz w:val="24"/>
        <w:szCs w:val="24"/>
      </w:rPr>
      <w:t>2755</w:t>
    </w:r>
    <w:r w:rsidR="00E303B5" w:rsidRPr="00612E9D">
      <w:rPr>
        <w:rFonts w:ascii="Times New Roman" w:hAnsi="Times New Roman"/>
        <w:bCs/>
        <w:color w:val="000000"/>
        <w:sz w:val="24"/>
        <w:szCs w:val="24"/>
      </w:rPr>
      <w:t>-v</w:t>
    </w:r>
    <w:r w:rsidR="00D85D20">
      <w:rPr>
        <w:rFonts w:ascii="Times New Roman" w:hAnsi="Times New Roman"/>
        <w:bCs/>
        <w:color w:val="000000"/>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DF6" w:rsidRDefault="00AD4DF6" w:rsidP="00CE4A37">
      <w:r>
        <w:separator/>
      </w:r>
    </w:p>
  </w:footnote>
  <w:footnote w:type="continuationSeparator" w:id="0">
    <w:p w:rsidR="00AD4DF6" w:rsidRDefault="00AD4DF6" w:rsidP="00CE4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C861EE"/>
    <w:lvl w:ilvl="0">
      <w:start w:val="1"/>
      <w:numFmt w:val="decimal"/>
      <w:lvlText w:val="%1."/>
      <w:lvlJc w:val="left"/>
      <w:pPr>
        <w:tabs>
          <w:tab w:val="num" w:pos="1800"/>
        </w:tabs>
        <w:ind w:left="1800" w:hanging="360"/>
      </w:pPr>
    </w:lvl>
  </w:abstractNum>
  <w:abstractNum w:abstractNumId="1">
    <w:nsid w:val="FFFFFF7D"/>
    <w:multiLevelType w:val="singleLevel"/>
    <w:tmpl w:val="55B09970"/>
    <w:lvl w:ilvl="0">
      <w:start w:val="1"/>
      <w:numFmt w:val="decimal"/>
      <w:lvlText w:val="%1."/>
      <w:lvlJc w:val="left"/>
      <w:pPr>
        <w:tabs>
          <w:tab w:val="num" w:pos="1440"/>
        </w:tabs>
        <w:ind w:left="1440" w:hanging="360"/>
      </w:pPr>
    </w:lvl>
  </w:abstractNum>
  <w:abstractNum w:abstractNumId="2">
    <w:nsid w:val="FFFFFF7E"/>
    <w:multiLevelType w:val="singleLevel"/>
    <w:tmpl w:val="CFD6D336"/>
    <w:lvl w:ilvl="0">
      <w:start w:val="1"/>
      <w:numFmt w:val="decimal"/>
      <w:lvlText w:val="%1."/>
      <w:lvlJc w:val="left"/>
      <w:pPr>
        <w:tabs>
          <w:tab w:val="num" w:pos="1080"/>
        </w:tabs>
        <w:ind w:left="1080" w:hanging="360"/>
      </w:pPr>
    </w:lvl>
  </w:abstractNum>
  <w:abstractNum w:abstractNumId="3">
    <w:nsid w:val="FFFFFF7F"/>
    <w:multiLevelType w:val="singleLevel"/>
    <w:tmpl w:val="BA1EC92A"/>
    <w:lvl w:ilvl="0">
      <w:start w:val="1"/>
      <w:numFmt w:val="decimal"/>
      <w:lvlText w:val="%1."/>
      <w:lvlJc w:val="left"/>
      <w:pPr>
        <w:tabs>
          <w:tab w:val="num" w:pos="720"/>
        </w:tabs>
        <w:ind w:left="720" w:hanging="360"/>
      </w:pPr>
    </w:lvl>
  </w:abstractNum>
  <w:abstractNum w:abstractNumId="4">
    <w:nsid w:val="FFFFFF80"/>
    <w:multiLevelType w:val="singleLevel"/>
    <w:tmpl w:val="6EB44B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7AD3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88E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F03B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40480E"/>
    <w:lvl w:ilvl="0">
      <w:start w:val="1"/>
      <w:numFmt w:val="decimal"/>
      <w:lvlText w:val="%1."/>
      <w:lvlJc w:val="left"/>
      <w:pPr>
        <w:tabs>
          <w:tab w:val="num" w:pos="360"/>
        </w:tabs>
        <w:ind w:left="360" w:hanging="360"/>
      </w:pPr>
    </w:lvl>
  </w:abstractNum>
  <w:abstractNum w:abstractNumId="9">
    <w:nsid w:val="FFFFFF89"/>
    <w:multiLevelType w:val="singleLevel"/>
    <w:tmpl w:val="AC7209A8"/>
    <w:lvl w:ilvl="0">
      <w:start w:val="1"/>
      <w:numFmt w:val="bullet"/>
      <w:lvlText w:val=""/>
      <w:lvlJc w:val="left"/>
      <w:pPr>
        <w:tabs>
          <w:tab w:val="num" w:pos="360"/>
        </w:tabs>
        <w:ind w:left="360" w:hanging="360"/>
      </w:pPr>
      <w:rPr>
        <w:rFonts w:ascii="Symbol" w:hAnsi="Symbol" w:hint="default"/>
      </w:rPr>
    </w:lvl>
  </w:abstractNum>
  <w:abstractNum w:abstractNumId="10">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13">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0">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8">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3476F8"/>
    <w:multiLevelType w:val="hybridMultilevel"/>
    <w:tmpl w:val="CE3A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1"/>
  </w:num>
  <w:num w:numId="3">
    <w:abstractNumId w:val="35"/>
  </w:num>
  <w:num w:numId="4">
    <w:abstractNumId w:val="11"/>
  </w:num>
  <w:num w:numId="5">
    <w:abstractNumId w:val="22"/>
  </w:num>
  <w:num w:numId="6">
    <w:abstractNumId w:val="17"/>
  </w:num>
  <w:num w:numId="7">
    <w:abstractNumId w:val="33"/>
  </w:num>
  <w:num w:numId="8">
    <w:abstractNumId w:val="24"/>
  </w:num>
  <w:num w:numId="9">
    <w:abstractNumId w:val="13"/>
  </w:num>
  <w:num w:numId="10">
    <w:abstractNumId w:val="14"/>
  </w:num>
  <w:num w:numId="11">
    <w:abstractNumId w:val="15"/>
  </w:num>
  <w:num w:numId="12">
    <w:abstractNumId w:val="10"/>
  </w:num>
  <w:num w:numId="13">
    <w:abstractNumId w:val="27"/>
  </w:num>
  <w:num w:numId="14">
    <w:abstractNumId w:val="12"/>
  </w:num>
  <w:num w:numId="15">
    <w:abstractNumId w:val="32"/>
  </w:num>
  <w:num w:numId="16">
    <w:abstractNumId w:val="29"/>
  </w:num>
  <w:num w:numId="17">
    <w:abstractNumId w:val="16"/>
  </w:num>
  <w:num w:numId="18">
    <w:abstractNumId w:val="28"/>
  </w:num>
  <w:num w:numId="19">
    <w:abstractNumId w:val="23"/>
  </w:num>
  <w:num w:numId="20">
    <w:abstractNumId w:val="19"/>
  </w:num>
  <w:num w:numId="21">
    <w:abstractNumId w:val="34"/>
  </w:num>
  <w:num w:numId="22">
    <w:abstractNumId w:val="20"/>
  </w:num>
  <w:num w:numId="23">
    <w:abstractNumId w:val="18"/>
  </w:num>
  <w:num w:numId="24">
    <w:abstractNumId w:val="26"/>
  </w:num>
  <w:num w:numId="25">
    <w:abstractNumId w:val="30"/>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EC6595"/>
    <w:rsid w:val="000005F9"/>
    <w:rsid w:val="000050A5"/>
    <w:rsid w:val="00012EA8"/>
    <w:rsid w:val="0001519E"/>
    <w:rsid w:val="000163B8"/>
    <w:rsid w:val="0002219B"/>
    <w:rsid w:val="000241B4"/>
    <w:rsid w:val="00025C59"/>
    <w:rsid w:val="000453F7"/>
    <w:rsid w:val="00046A4C"/>
    <w:rsid w:val="00052A07"/>
    <w:rsid w:val="0008050C"/>
    <w:rsid w:val="000868D4"/>
    <w:rsid w:val="000873AA"/>
    <w:rsid w:val="00091121"/>
    <w:rsid w:val="000A49C6"/>
    <w:rsid w:val="000A7CFB"/>
    <w:rsid w:val="000E70C7"/>
    <w:rsid w:val="000F4395"/>
    <w:rsid w:val="001010ED"/>
    <w:rsid w:val="0010174C"/>
    <w:rsid w:val="00110A84"/>
    <w:rsid w:val="001155EE"/>
    <w:rsid w:val="001176E8"/>
    <w:rsid w:val="00130605"/>
    <w:rsid w:val="00142BD3"/>
    <w:rsid w:val="00145C34"/>
    <w:rsid w:val="00152D19"/>
    <w:rsid w:val="00152FA8"/>
    <w:rsid w:val="00154071"/>
    <w:rsid w:val="00155190"/>
    <w:rsid w:val="00157046"/>
    <w:rsid w:val="001704D4"/>
    <w:rsid w:val="001720C7"/>
    <w:rsid w:val="00177470"/>
    <w:rsid w:val="00193DA0"/>
    <w:rsid w:val="001A0A8B"/>
    <w:rsid w:val="001B6C4D"/>
    <w:rsid w:val="001B6F67"/>
    <w:rsid w:val="001C4BDA"/>
    <w:rsid w:val="001C64BD"/>
    <w:rsid w:val="001D0221"/>
    <w:rsid w:val="001E0051"/>
    <w:rsid w:val="001E5064"/>
    <w:rsid w:val="001E6A5E"/>
    <w:rsid w:val="00230BC2"/>
    <w:rsid w:val="002413C2"/>
    <w:rsid w:val="00243731"/>
    <w:rsid w:val="00257B44"/>
    <w:rsid w:val="00273062"/>
    <w:rsid w:val="002852E5"/>
    <w:rsid w:val="002925E3"/>
    <w:rsid w:val="002B3428"/>
    <w:rsid w:val="002B6458"/>
    <w:rsid w:val="002D0832"/>
    <w:rsid w:val="002E3835"/>
    <w:rsid w:val="002F716B"/>
    <w:rsid w:val="0030542F"/>
    <w:rsid w:val="00313033"/>
    <w:rsid w:val="00320A7E"/>
    <w:rsid w:val="003222EB"/>
    <w:rsid w:val="00340B4F"/>
    <w:rsid w:val="00342DFC"/>
    <w:rsid w:val="00343C5A"/>
    <w:rsid w:val="0034477F"/>
    <w:rsid w:val="00346AC1"/>
    <w:rsid w:val="0034768D"/>
    <w:rsid w:val="00353383"/>
    <w:rsid w:val="00354141"/>
    <w:rsid w:val="0038051D"/>
    <w:rsid w:val="00381D6A"/>
    <w:rsid w:val="0039431D"/>
    <w:rsid w:val="0039459B"/>
    <w:rsid w:val="003A3F70"/>
    <w:rsid w:val="003B3433"/>
    <w:rsid w:val="003F15E9"/>
    <w:rsid w:val="004015B7"/>
    <w:rsid w:val="00417E67"/>
    <w:rsid w:val="00417F30"/>
    <w:rsid w:val="00422322"/>
    <w:rsid w:val="00422624"/>
    <w:rsid w:val="00444690"/>
    <w:rsid w:val="0045185B"/>
    <w:rsid w:val="004533F7"/>
    <w:rsid w:val="004B1ACC"/>
    <w:rsid w:val="004B23AD"/>
    <w:rsid w:val="004D22D1"/>
    <w:rsid w:val="004D247F"/>
    <w:rsid w:val="004E2221"/>
    <w:rsid w:val="004F05A5"/>
    <w:rsid w:val="00507390"/>
    <w:rsid w:val="00515FDA"/>
    <w:rsid w:val="00523332"/>
    <w:rsid w:val="00523FF2"/>
    <w:rsid w:val="00524316"/>
    <w:rsid w:val="00533303"/>
    <w:rsid w:val="0054344D"/>
    <w:rsid w:val="0056236B"/>
    <w:rsid w:val="0056676B"/>
    <w:rsid w:val="00570DC9"/>
    <w:rsid w:val="00572309"/>
    <w:rsid w:val="00573BD3"/>
    <w:rsid w:val="00577697"/>
    <w:rsid w:val="005873AC"/>
    <w:rsid w:val="0058755B"/>
    <w:rsid w:val="00587AC5"/>
    <w:rsid w:val="00595A90"/>
    <w:rsid w:val="00595D61"/>
    <w:rsid w:val="005A0047"/>
    <w:rsid w:val="005A5810"/>
    <w:rsid w:val="005B177D"/>
    <w:rsid w:val="005C7486"/>
    <w:rsid w:val="005D4B03"/>
    <w:rsid w:val="005D5DB8"/>
    <w:rsid w:val="005E52F2"/>
    <w:rsid w:val="005E5568"/>
    <w:rsid w:val="005F0220"/>
    <w:rsid w:val="005F4640"/>
    <w:rsid w:val="00606285"/>
    <w:rsid w:val="00612E9D"/>
    <w:rsid w:val="00613AA6"/>
    <w:rsid w:val="00616EC3"/>
    <w:rsid w:val="0062072C"/>
    <w:rsid w:val="0062494F"/>
    <w:rsid w:val="00625DFC"/>
    <w:rsid w:val="00625FB5"/>
    <w:rsid w:val="00640FDF"/>
    <w:rsid w:val="00642B7D"/>
    <w:rsid w:val="006455CD"/>
    <w:rsid w:val="00652D0A"/>
    <w:rsid w:val="006606DF"/>
    <w:rsid w:val="006631BF"/>
    <w:rsid w:val="006658A7"/>
    <w:rsid w:val="00687CDC"/>
    <w:rsid w:val="00692083"/>
    <w:rsid w:val="006964BB"/>
    <w:rsid w:val="00697FE1"/>
    <w:rsid w:val="006A2EA7"/>
    <w:rsid w:val="006C5ED0"/>
    <w:rsid w:val="006D46A3"/>
    <w:rsid w:val="006E01AF"/>
    <w:rsid w:val="006E5CD1"/>
    <w:rsid w:val="006E7833"/>
    <w:rsid w:val="00701DF9"/>
    <w:rsid w:val="00701F02"/>
    <w:rsid w:val="007042B8"/>
    <w:rsid w:val="00722202"/>
    <w:rsid w:val="00726C18"/>
    <w:rsid w:val="00731DB2"/>
    <w:rsid w:val="0074065F"/>
    <w:rsid w:val="00747E2E"/>
    <w:rsid w:val="0075147C"/>
    <w:rsid w:val="00763D5A"/>
    <w:rsid w:val="00766222"/>
    <w:rsid w:val="007675AF"/>
    <w:rsid w:val="0077447F"/>
    <w:rsid w:val="00776CBC"/>
    <w:rsid w:val="007931FF"/>
    <w:rsid w:val="007A42D0"/>
    <w:rsid w:val="007B5F74"/>
    <w:rsid w:val="007B6659"/>
    <w:rsid w:val="007C0154"/>
    <w:rsid w:val="007C01C7"/>
    <w:rsid w:val="007C1691"/>
    <w:rsid w:val="007C2BB6"/>
    <w:rsid w:val="007C6CF9"/>
    <w:rsid w:val="007D54ED"/>
    <w:rsid w:val="007F67EB"/>
    <w:rsid w:val="0080009C"/>
    <w:rsid w:val="008027FB"/>
    <w:rsid w:val="00816B9B"/>
    <w:rsid w:val="00825156"/>
    <w:rsid w:val="008457E8"/>
    <w:rsid w:val="0086580F"/>
    <w:rsid w:val="00894E4C"/>
    <w:rsid w:val="008963C6"/>
    <w:rsid w:val="008A202A"/>
    <w:rsid w:val="008A266B"/>
    <w:rsid w:val="008A56F1"/>
    <w:rsid w:val="008B3ACB"/>
    <w:rsid w:val="008B44B3"/>
    <w:rsid w:val="008C429F"/>
    <w:rsid w:val="008C4DEA"/>
    <w:rsid w:val="008D36AE"/>
    <w:rsid w:val="008E002B"/>
    <w:rsid w:val="008F31E0"/>
    <w:rsid w:val="008F45DF"/>
    <w:rsid w:val="008F61ED"/>
    <w:rsid w:val="008F6A4C"/>
    <w:rsid w:val="008F6D39"/>
    <w:rsid w:val="008F78CC"/>
    <w:rsid w:val="0090005A"/>
    <w:rsid w:val="0090637B"/>
    <w:rsid w:val="009243C4"/>
    <w:rsid w:val="00924D56"/>
    <w:rsid w:val="00930ECB"/>
    <w:rsid w:val="00933064"/>
    <w:rsid w:val="0094747F"/>
    <w:rsid w:val="009528B3"/>
    <w:rsid w:val="009614EC"/>
    <w:rsid w:val="00964ABD"/>
    <w:rsid w:val="009702CB"/>
    <w:rsid w:val="00976F71"/>
    <w:rsid w:val="00984105"/>
    <w:rsid w:val="009876FF"/>
    <w:rsid w:val="00994DAC"/>
    <w:rsid w:val="009B3159"/>
    <w:rsid w:val="009C2E45"/>
    <w:rsid w:val="009D1B18"/>
    <w:rsid w:val="009D2DE5"/>
    <w:rsid w:val="009E551E"/>
    <w:rsid w:val="009E56E3"/>
    <w:rsid w:val="009E7FE2"/>
    <w:rsid w:val="009F55EB"/>
    <w:rsid w:val="00A06428"/>
    <w:rsid w:val="00A076F3"/>
    <w:rsid w:val="00A07A64"/>
    <w:rsid w:val="00A12EA0"/>
    <w:rsid w:val="00A148F6"/>
    <w:rsid w:val="00A22EB4"/>
    <w:rsid w:val="00A34130"/>
    <w:rsid w:val="00A415CA"/>
    <w:rsid w:val="00A444C3"/>
    <w:rsid w:val="00A457EB"/>
    <w:rsid w:val="00A457F2"/>
    <w:rsid w:val="00A47B7A"/>
    <w:rsid w:val="00A56BD8"/>
    <w:rsid w:val="00A56EC5"/>
    <w:rsid w:val="00A93613"/>
    <w:rsid w:val="00A93E2A"/>
    <w:rsid w:val="00A964EE"/>
    <w:rsid w:val="00AA3497"/>
    <w:rsid w:val="00AA3C1F"/>
    <w:rsid w:val="00AA5DC2"/>
    <w:rsid w:val="00AC2534"/>
    <w:rsid w:val="00AD0E30"/>
    <w:rsid w:val="00AD2E63"/>
    <w:rsid w:val="00AD3724"/>
    <w:rsid w:val="00AD4DF6"/>
    <w:rsid w:val="00AE0B3B"/>
    <w:rsid w:val="00AF52CB"/>
    <w:rsid w:val="00AF5CD3"/>
    <w:rsid w:val="00AF7BB8"/>
    <w:rsid w:val="00B037FF"/>
    <w:rsid w:val="00B045F9"/>
    <w:rsid w:val="00B04E5B"/>
    <w:rsid w:val="00B16DF2"/>
    <w:rsid w:val="00B3760B"/>
    <w:rsid w:val="00B54ECB"/>
    <w:rsid w:val="00B57D23"/>
    <w:rsid w:val="00B60652"/>
    <w:rsid w:val="00B63361"/>
    <w:rsid w:val="00B64C1F"/>
    <w:rsid w:val="00B6521B"/>
    <w:rsid w:val="00B706F2"/>
    <w:rsid w:val="00B9090B"/>
    <w:rsid w:val="00B909A2"/>
    <w:rsid w:val="00B90B8C"/>
    <w:rsid w:val="00BA24EE"/>
    <w:rsid w:val="00BA3C24"/>
    <w:rsid w:val="00BC118D"/>
    <w:rsid w:val="00BC35BA"/>
    <w:rsid w:val="00BF1788"/>
    <w:rsid w:val="00BF27DF"/>
    <w:rsid w:val="00BF6B84"/>
    <w:rsid w:val="00BF6CE8"/>
    <w:rsid w:val="00C02B9A"/>
    <w:rsid w:val="00C054A2"/>
    <w:rsid w:val="00C144B4"/>
    <w:rsid w:val="00C46CA4"/>
    <w:rsid w:val="00C57D80"/>
    <w:rsid w:val="00C71AFA"/>
    <w:rsid w:val="00C757DB"/>
    <w:rsid w:val="00CA1C24"/>
    <w:rsid w:val="00CB031C"/>
    <w:rsid w:val="00CB073F"/>
    <w:rsid w:val="00CC46B3"/>
    <w:rsid w:val="00CC776E"/>
    <w:rsid w:val="00CC7F68"/>
    <w:rsid w:val="00CD598A"/>
    <w:rsid w:val="00CE4A37"/>
    <w:rsid w:val="00CE60DD"/>
    <w:rsid w:val="00D120AA"/>
    <w:rsid w:val="00D13E37"/>
    <w:rsid w:val="00D15427"/>
    <w:rsid w:val="00D17D33"/>
    <w:rsid w:val="00D20E9C"/>
    <w:rsid w:val="00D22BBA"/>
    <w:rsid w:val="00D23D89"/>
    <w:rsid w:val="00D254F0"/>
    <w:rsid w:val="00D27374"/>
    <w:rsid w:val="00D310C1"/>
    <w:rsid w:val="00D4717D"/>
    <w:rsid w:val="00D64BB6"/>
    <w:rsid w:val="00D660B0"/>
    <w:rsid w:val="00D7151B"/>
    <w:rsid w:val="00D72888"/>
    <w:rsid w:val="00D7697C"/>
    <w:rsid w:val="00D77C62"/>
    <w:rsid w:val="00D8010D"/>
    <w:rsid w:val="00D80789"/>
    <w:rsid w:val="00D85443"/>
    <w:rsid w:val="00D85CAC"/>
    <w:rsid w:val="00D85D20"/>
    <w:rsid w:val="00D86798"/>
    <w:rsid w:val="00D903F8"/>
    <w:rsid w:val="00DA0638"/>
    <w:rsid w:val="00DA3C6B"/>
    <w:rsid w:val="00DB068C"/>
    <w:rsid w:val="00DB62D3"/>
    <w:rsid w:val="00DC4CFC"/>
    <w:rsid w:val="00DD01A3"/>
    <w:rsid w:val="00DD4B95"/>
    <w:rsid w:val="00DE0323"/>
    <w:rsid w:val="00DE3F2C"/>
    <w:rsid w:val="00DE6280"/>
    <w:rsid w:val="00E1616F"/>
    <w:rsid w:val="00E20844"/>
    <w:rsid w:val="00E24D40"/>
    <w:rsid w:val="00E24EC7"/>
    <w:rsid w:val="00E303B5"/>
    <w:rsid w:val="00E30F58"/>
    <w:rsid w:val="00E367F7"/>
    <w:rsid w:val="00E544F6"/>
    <w:rsid w:val="00E63232"/>
    <w:rsid w:val="00E81B42"/>
    <w:rsid w:val="00EA4D34"/>
    <w:rsid w:val="00EA4DFF"/>
    <w:rsid w:val="00EB7551"/>
    <w:rsid w:val="00EC51BC"/>
    <w:rsid w:val="00EC6595"/>
    <w:rsid w:val="00ED5412"/>
    <w:rsid w:val="00EE544B"/>
    <w:rsid w:val="00EF7CE2"/>
    <w:rsid w:val="00F159EE"/>
    <w:rsid w:val="00F3114F"/>
    <w:rsid w:val="00F40872"/>
    <w:rsid w:val="00F42BB8"/>
    <w:rsid w:val="00F50A74"/>
    <w:rsid w:val="00F54A67"/>
    <w:rsid w:val="00F551B0"/>
    <w:rsid w:val="00F61F83"/>
    <w:rsid w:val="00F650DA"/>
    <w:rsid w:val="00F669DB"/>
    <w:rsid w:val="00F76E6A"/>
    <w:rsid w:val="00F83252"/>
    <w:rsid w:val="00FA0B84"/>
    <w:rsid w:val="00FB1D85"/>
    <w:rsid w:val="00FC3939"/>
    <w:rsid w:val="00FD4491"/>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Caption">
    <w:name w:val="caption"/>
    <w:basedOn w:val="Normal"/>
    <w:next w:val="Normal"/>
    <w:unhideWhenUsed/>
    <w:qFormat/>
    <w:locked/>
    <w:rsid w:val="005D4B0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24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cc.ligo.org/cgi-bin/DocDB/ShowDocument?docid=89006" TargetMode="External"/><Relationship Id="rId18" Type="http://schemas.openxmlformats.org/officeDocument/2006/relationships/hyperlink" Target="https://dcc.ligo.org/cgi-bin/DocDB/ShowDocument?docid=890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cc.ligo.org/cgi-bin/DocDB/ShowDocument?docid=33135" TargetMode="External"/><Relationship Id="rId7" Type="http://schemas.openxmlformats.org/officeDocument/2006/relationships/endnotes" Target="endnotes.xml"/><Relationship Id="rId12" Type="http://schemas.openxmlformats.org/officeDocument/2006/relationships/hyperlink" Target="https://dcc.ligo.org/public/0038/Q1100003/001/Q1100003-v1%20AQL.pdf" TargetMode="External"/><Relationship Id="rId17" Type="http://schemas.openxmlformats.org/officeDocument/2006/relationships/hyperlink" Target="https://dcc.ligo.org/cgi-bin/DocDB/ShowDocument?docid=8900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cc.ligo.org/cgi-bin/DocDB/ShowDocument?docid=38519" TargetMode="External"/><Relationship Id="rId20" Type="http://schemas.openxmlformats.org/officeDocument/2006/relationships/hyperlink" Target="https://dcc.ligo.org/cgi-bin/DocDB/ShowDocument?docid=89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public/0001/Q0900001/005/Q0900001-V5.pdf" TargetMode="External"/><Relationship Id="rId24" Type="http://schemas.openxmlformats.org/officeDocument/2006/relationships/hyperlink" Target="https://dcc.ligo.org/cgi-bin/DocDB/ShowDocument?docid=33135" TargetMode="External"/><Relationship Id="rId5" Type="http://schemas.openxmlformats.org/officeDocument/2006/relationships/webSettings" Target="webSettings.xml"/><Relationship Id="rId15" Type="http://schemas.openxmlformats.org/officeDocument/2006/relationships/hyperlink" Target="https://dcc.ligo.org/cgi-bin/DocDB/ShowDocument?docid=38519" TargetMode="External"/><Relationship Id="rId23" Type="http://schemas.openxmlformats.org/officeDocument/2006/relationships/hyperlink" Target="https://dcc.ligo.org/cgi-bin/DocDB/ShowDocument?docid=33135" TargetMode="External"/><Relationship Id="rId10" Type="http://schemas.openxmlformats.org/officeDocument/2006/relationships/hyperlink" Target="https://dcc.ligo.org/public/0002/C080185/001/C080185-00_Commerical_Terms.pdf" TargetMode="External"/><Relationship Id="rId19" Type="http://schemas.openxmlformats.org/officeDocument/2006/relationships/hyperlink" Target="https://dcc.ligo.org/cgi-bin/DocDB/ShowDocument?docid=89006" TargetMode="External"/><Relationship Id="rId4" Type="http://schemas.openxmlformats.org/officeDocument/2006/relationships/settings" Target="settings.xml"/><Relationship Id="rId9" Type="http://schemas.openxmlformats.org/officeDocument/2006/relationships/hyperlink" Target="https://dcc.ligo.org/" TargetMode="External"/><Relationship Id="rId14" Type="http://schemas.openxmlformats.org/officeDocument/2006/relationships/hyperlink" Target="https://dcc.ligo.org/cgi-bin/DocDB/ShowDocument?docid=33135" TargetMode="External"/><Relationship Id="rId22" Type="http://schemas.openxmlformats.org/officeDocument/2006/relationships/hyperlink" Target="https://dcc.ligo.org/cgi-bin/DocDB/ShowDocument?docid=331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0AB5-3570-4B7D-BFB2-29DB040D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8020</CharactersWithSpaces>
  <SharedDoc>false</SharedDoc>
  <HLinks>
    <vt:vector size="84" baseType="variant">
      <vt:variant>
        <vt:i4>2359398</vt:i4>
      </vt:variant>
      <vt:variant>
        <vt:i4>39</vt:i4>
      </vt:variant>
      <vt:variant>
        <vt:i4>0</vt:i4>
      </vt:variant>
      <vt:variant>
        <vt:i4>5</vt:i4>
      </vt:variant>
      <vt:variant>
        <vt:lpwstr>https://dcc.ligo.org/cgi-bin/DocDB/ShowDocument?docid=38519</vt:lpwstr>
      </vt:variant>
      <vt:variant>
        <vt:lpwstr/>
      </vt:variant>
      <vt:variant>
        <vt:i4>2359398</vt:i4>
      </vt:variant>
      <vt:variant>
        <vt:i4>36</vt:i4>
      </vt:variant>
      <vt:variant>
        <vt:i4>0</vt:i4>
      </vt:variant>
      <vt:variant>
        <vt:i4>5</vt:i4>
      </vt:variant>
      <vt:variant>
        <vt:lpwstr>https://dcc.ligo.org/cgi-bin/DocDB/ShowDocument?docid=38519</vt:lpwstr>
      </vt:variant>
      <vt:variant>
        <vt:lpwstr/>
      </vt:variant>
      <vt:variant>
        <vt:i4>2818147</vt:i4>
      </vt:variant>
      <vt:variant>
        <vt:i4>33</vt:i4>
      </vt:variant>
      <vt:variant>
        <vt:i4>0</vt:i4>
      </vt:variant>
      <vt:variant>
        <vt:i4>5</vt:i4>
      </vt:variant>
      <vt:variant>
        <vt:lpwstr>https://dcc.ligo.org/cgi-bin/DocDB/ShowDocument?docid=2214</vt:lpwstr>
      </vt:variant>
      <vt:variant>
        <vt:lpwstr/>
      </vt:variant>
      <vt:variant>
        <vt:i4>2883683</vt:i4>
      </vt:variant>
      <vt:variant>
        <vt:i4>30</vt:i4>
      </vt:variant>
      <vt:variant>
        <vt:i4>0</vt:i4>
      </vt:variant>
      <vt:variant>
        <vt:i4>5</vt:i4>
      </vt:variant>
      <vt:variant>
        <vt:lpwstr>https://dcc.ligo.org/cgi-bin/DocDB/ShowDocument?docid=2213</vt:lpwstr>
      </vt:variant>
      <vt:variant>
        <vt:lpwstr/>
      </vt:variant>
      <vt:variant>
        <vt:i4>2490466</vt:i4>
      </vt:variant>
      <vt:variant>
        <vt:i4>27</vt:i4>
      </vt:variant>
      <vt:variant>
        <vt:i4>0</vt:i4>
      </vt:variant>
      <vt:variant>
        <vt:i4>5</vt:i4>
      </vt:variant>
      <vt:variant>
        <vt:lpwstr>https://dcc.ligo.org/cgi-bin/DocDB/ShowDocument?docid=2209</vt:lpwstr>
      </vt:variant>
      <vt:variant>
        <vt:lpwstr/>
      </vt:variant>
      <vt:variant>
        <vt:i4>3080291</vt:i4>
      </vt:variant>
      <vt:variant>
        <vt:i4>24</vt:i4>
      </vt:variant>
      <vt:variant>
        <vt:i4>0</vt:i4>
      </vt:variant>
      <vt:variant>
        <vt:i4>5</vt:i4>
      </vt:variant>
      <vt:variant>
        <vt:lpwstr>https://dcc.ligo.org/cgi-bin/DocDB/ShowDocument?docid=2210</vt:lpwstr>
      </vt:variant>
      <vt:variant>
        <vt:lpwstr/>
      </vt:variant>
      <vt:variant>
        <vt:i4>2949225</vt:i4>
      </vt:variant>
      <vt:variant>
        <vt:i4>21</vt:i4>
      </vt:variant>
      <vt:variant>
        <vt:i4>0</vt:i4>
      </vt:variant>
      <vt:variant>
        <vt:i4>5</vt:i4>
      </vt:variant>
      <vt:variant>
        <vt:lpwstr>https://dcc.ligo.org/cgi-bin/DocDB/ShowDocument?docid=1787</vt:lpwstr>
      </vt:variant>
      <vt:variant>
        <vt:lpwstr/>
      </vt:variant>
      <vt:variant>
        <vt:i4>2883689</vt:i4>
      </vt:variant>
      <vt:variant>
        <vt:i4>18</vt:i4>
      </vt:variant>
      <vt:variant>
        <vt:i4>0</vt:i4>
      </vt:variant>
      <vt:variant>
        <vt:i4>5</vt:i4>
      </vt:variant>
      <vt:variant>
        <vt:lpwstr>https://dcc.ligo.org/cgi-bin/DocDB/ShowDocument?docid=1786</vt:lpwstr>
      </vt:variant>
      <vt:variant>
        <vt:lpwstr/>
      </vt:variant>
      <vt:variant>
        <vt:i4>196631</vt:i4>
      </vt:variant>
      <vt:variant>
        <vt:i4>15</vt:i4>
      </vt:variant>
      <vt:variant>
        <vt:i4>0</vt:i4>
      </vt:variant>
      <vt:variant>
        <vt:i4>5</vt:i4>
      </vt:variant>
      <vt:variant>
        <vt:lpwstr>https://dcc.ligo.org/public/0000/E0900048/009/E0900048-v9_LIGO_UHV_Welding_Spec.pdf</vt:lpwstr>
      </vt:variant>
      <vt:variant>
        <vt:lpwstr/>
      </vt:variant>
      <vt:variant>
        <vt:i4>7209057</vt:i4>
      </vt:variant>
      <vt:variant>
        <vt:i4>12</vt:i4>
      </vt:variant>
      <vt:variant>
        <vt:i4>0</vt:i4>
      </vt:variant>
      <vt:variant>
        <vt:i4>5</vt:i4>
      </vt:variant>
      <vt:variant>
        <vt:lpwstr>https://dcc.ligo.org/public/0006/E0900364/008/E0900364-v8 LIGO Metal in Vacuum.pdf</vt:lpwstr>
      </vt:variant>
      <vt:variant>
        <vt:lpwstr/>
      </vt:variant>
      <vt:variant>
        <vt:i4>1114187</vt:i4>
      </vt:variant>
      <vt:variant>
        <vt:i4>9</vt:i4>
      </vt:variant>
      <vt:variant>
        <vt:i4>0</vt:i4>
      </vt:variant>
      <vt:variant>
        <vt:i4>5</vt:i4>
      </vt:variant>
      <vt:variant>
        <vt:lpwstr>https://dcc.ligo.org/public/0038/Q1100003/001/Q1100003-v1 AQL.pdf</vt:lpwstr>
      </vt:variant>
      <vt:variant>
        <vt:lpwstr/>
      </vt:variant>
      <vt:variant>
        <vt:i4>4325454</vt:i4>
      </vt:variant>
      <vt:variant>
        <vt:i4>6</vt:i4>
      </vt:variant>
      <vt:variant>
        <vt:i4>0</vt:i4>
      </vt:variant>
      <vt:variant>
        <vt:i4>5</vt:i4>
      </vt:variant>
      <vt:variant>
        <vt:lpwstr>https://dcc.ligo.org/public/0001/Q0900001/005/Q0900001-V5.pdf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5373968</vt:i4>
      </vt:variant>
      <vt:variant>
        <vt:i4>0</vt:i4>
      </vt:variant>
      <vt:variant>
        <vt:i4>0</vt:i4>
      </vt:variant>
      <vt:variant>
        <vt:i4>5</vt:i4>
      </vt:variant>
      <vt:variant>
        <vt:lpwstr>https://dcc.ligo.org/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creator>stephf</dc:creator>
  <cp:lastModifiedBy>Eric James</cp:lastModifiedBy>
  <cp:revision>9</cp:revision>
  <cp:lastPrinted>2009-11-17T21:43:00Z</cp:lastPrinted>
  <dcterms:created xsi:type="dcterms:W3CDTF">2012-04-18T21:15:00Z</dcterms:created>
  <dcterms:modified xsi:type="dcterms:W3CDTF">2012-04-26T15:03:00Z</dcterms:modified>
</cp:coreProperties>
</file>