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8F" w:rsidRPr="004E61A8" w:rsidRDefault="00E84D8F" w:rsidP="00E84D8F">
      <w:pPr>
        <w:pStyle w:val="Title"/>
        <w:rPr>
          <w:sz w:val="44"/>
          <w:szCs w:val="44"/>
        </w:rPr>
      </w:pPr>
      <w:r w:rsidRPr="004E61A8">
        <w:rPr>
          <w:sz w:val="44"/>
          <w:szCs w:val="44"/>
        </w:rPr>
        <w:t xml:space="preserve">Comments on Modal Analysis of the </w:t>
      </w:r>
      <w:proofErr w:type="spellStart"/>
      <w:r w:rsidRPr="004E61A8">
        <w:rPr>
          <w:sz w:val="44"/>
          <w:szCs w:val="44"/>
        </w:rPr>
        <w:t>PCal</w:t>
      </w:r>
      <w:proofErr w:type="spellEnd"/>
      <w:r w:rsidRPr="004E61A8">
        <w:rPr>
          <w:sz w:val="44"/>
          <w:szCs w:val="44"/>
        </w:rPr>
        <w:t xml:space="preserve"> Pylon</w:t>
      </w:r>
    </w:p>
    <w:p w:rsidR="00264C8A" w:rsidRPr="00E84D8F" w:rsidRDefault="0081026A" w:rsidP="00E84D8F">
      <w:r>
        <w:t>LIGO-T1100379-v1</w:t>
      </w:r>
      <w:r>
        <w:br/>
      </w:r>
      <w:r w:rsidR="00264C8A">
        <w:t>Dennis Coyne</w:t>
      </w:r>
      <w:r w:rsidR="00264C8A">
        <w:br/>
        <w:t>17 July 2011</w:t>
      </w:r>
    </w:p>
    <w:p w:rsidR="003B0910" w:rsidRDefault="003B0910" w:rsidP="006A7E25">
      <w:pPr>
        <w:pStyle w:val="Heading1"/>
      </w:pPr>
      <w:r>
        <w:t>Introduction</w:t>
      </w:r>
    </w:p>
    <w:p w:rsidR="00FB7204" w:rsidRPr="00FB7204" w:rsidRDefault="00FB7204" w:rsidP="00FB7204">
      <w:r>
        <w:t xml:space="preserve">A Finite Element Analysis (FEA) </w:t>
      </w:r>
      <w:r w:rsidR="00732A83">
        <w:t>of the Photon Calibrator (</w:t>
      </w:r>
      <w:proofErr w:type="spellStart"/>
      <w:r w:rsidR="00732A83">
        <w:t>PCal</w:t>
      </w:r>
      <w:proofErr w:type="spellEnd"/>
      <w:r w:rsidR="00732A83">
        <w:t>) pylon (aka pier) is given in document LIGO-D1101270-v3. In this memo, some approximate calculations of the first resonant frequencies is given for Model 2 of LIGO-D1101270-v3 and compared to the FEA results</w:t>
      </w:r>
      <w:r w:rsidR="00732A83">
        <w:rPr>
          <w:rStyle w:val="FootnoteReference"/>
        </w:rPr>
        <w:footnoteReference w:id="1"/>
      </w:r>
      <w:r w:rsidR="00732A83">
        <w:t>.</w:t>
      </w:r>
    </w:p>
    <w:p w:rsidR="003B0910" w:rsidRPr="003B0910" w:rsidRDefault="003B0910" w:rsidP="003B0910">
      <w:r>
        <w:rPr>
          <w:noProof/>
        </w:rPr>
        <w:drawing>
          <wp:inline distT="0" distB="0" distL="0" distR="0" wp14:anchorId="283B643D" wp14:editId="41647979">
            <wp:extent cx="2778760" cy="4765229"/>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78760" cy="4765229"/>
                    </a:xfrm>
                    <a:prstGeom prst="rect">
                      <a:avLst/>
                    </a:prstGeom>
                  </pic:spPr>
                </pic:pic>
              </a:graphicData>
            </a:graphic>
          </wp:inline>
        </w:drawing>
      </w:r>
    </w:p>
    <w:p w:rsidR="006A7E25" w:rsidRDefault="006A7E25" w:rsidP="00807FAE">
      <w:pPr>
        <w:pStyle w:val="Heading1"/>
      </w:pPr>
      <w:r>
        <w:lastRenderedPageBreak/>
        <w:t>Cross-Section Moment</w:t>
      </w:r>
      <w:r w:rsidR="00404629">
        <w:t>s</w:t>
      </w:r>
      <w:r>
        <w:t xml:space="preserve"> of Inertia</w:t>
      </w:r>
    </w:p>
    <w:p w:rsidR="00AC3708" w:rsidRDefault="00AC3708" w:rsidP="00807FAE">
      <w:r>
        <w:t xml:space="preserve">A representation of a horizontal cross-section </w:t>
      </w:r>
      <w:r w:rsidR="007E7CF4">
        <w:t xml:space="preserve">of the pylon (density = .001 g/mm^3, </w:t>
      </w:r>
      <w:r w:rsidR="00CC1BFD">
        <w:t>wall thickness = 1.9 mm, depth (</w:t>
      </w:r>
      <w:r w:rsidR="007E7CF4">
        <w:t>thickness</w:t>
      </w:r>
      <w:r w:rsidR="00CC1BFD">
        <w:t>)</w:t>
      </w:r>
      <w:r w:rsidR="007E7CF4">
        <w:t xml:space="preserve"> = .001 mm)</w:t>
      </w:r>
    </w:p>
    <w:tbl>
      <w:tblPr>
        <w:tblStyle w:val="TableGrid"/>
        <w:tblW w:w="0" w:type="auto"/>
        <w:tblLook w:val="04A0" w:firstRow="1" w:lastRow="0" w:firstColumn="1" w:lastColumn="0" w:noHBand="0" w:noVBand="1"/>
      </w:tblPr>
      <w:tblGrid>
        <w:gridCol w:w="5617"/>
        <w:gridCol w:w="3959"/>
      </w:tblGrid>
      <w:tr w:rsidR="00DE54A0" w:rsidTr="00DE54A0">
        <w:tc>
          <w:tcPr>
            <w:tcW w:w="4788" w:type="dxa"/>
          </w:tcPr>
          <w:p w:rsidR="00DE54A0" w:rsidRDefault="00DE54A0" w:rsidP="00807FAE">
            <w:r>
              <w:rPr>
                <w:noProof/>
              </w:rPr>
              <w:drawing>
                <wp:inline distT="0" distB="0" distL="0" distR="0" wp14:anchorId="0E44400D" wp14:editId="6B59FCD3">
                  <wp:extent cx="3599963" cy="3124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05531" cy="3129032"/>
                          </a:xfrm>
                          <a:prstGeom prst="rect">
                            <a:avLst/>
                          </a:prstGeom>
                        </pic:spPr>
                      </pic:pic>
                    </a:graphicData>
                  </a:graphic>
                </wp:inline>
              </w:drawing>
            </w:r>
          </w:p>
        </w:tc>
        <w:tc>
          <w:tcPr>
            <w:tcW w:w="4788" w:type="dxa"/>
          </w:tcPr>
          <w:p w:rsidR="00DE54A0" w:rsidRDefault="00DE54A0" w:rsidP="00807FAE">
            <w:r>
              <w:rPr>
                <w:noProof/>
              </w:rPr>
              <w:drawing>
                <wp:inline distT="0" distB="0" distL="0" distR="0" wp14:anchorId="24E9F214" wp14:editId="3DF8A2BC">
                  <wp:extent cx="2487524" cy="39878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91503" cy="3994178"/>
                          </a:xfrm>
                          <a:prstGeom prst="rect">
                            <a:avLst/>
                          </a:prstGeom>
                        </pic:spPr>
                      </pic:pic>
                    </a:graphicData>
                  </a:graphic>
                </wp:inline>
              </w:drawing>
            </w:r>
          </w:p>
        </w:tc>
      </w:tr>
    </w:tbl>
    <w:p w:rsidR="00444829" w:rsidRDefault="00444829" w:rsidP="00807FAE"/>
    <w:p w:rsidR="007E7CF4" w:rsidRDefault="007E7CF4" w:rsidP="00807FAE">
      <w:r>
        <w:t xml:space="preserve">To determine the area moment of inertia, divide </w:t>
      </w:r>
      <w:bookmarkStart w:id="0" w:name="_GoBack"/>
      <w:bookmarkEnd w:id="0"/>
      <w:r>
        <w:t xml:space="preserve">the </w:t>
      </w:r>
      <w:proofErr w:type="spellStart"/>
      <w:r>
        <w:t>solidworks</w:t>
      </w:r>
      <w:proofErr w:type="spellEnd"/>
      <w:r>
        <w:t xml:space="preserve"> moments of inertia by the density and the </w:t>
      </w:r>
      <w:r w:rsidR="00CC1BFD">
        <w:t>depth</w:t>
      </w:r>
      <w:r>
        <w:t xml:space="preserve"> (i.e. divide by 10</w:t>
      </w:r>
      <w:bookmarkStart w:id="1" w:name="OLE_LINK1"/>
      <w:bookmarkStart w:id="2" w:name="OLE_LINK2"/>
      <w:r w:rsidRPr="007E7CF4">
        <w:rPr>
          <w:vertAlign w:val="superscript"/>
        </w:rPr>
        <w:t>-6</w:t>
      </w:r>
      <w:bookmarkEnd w:id="1"/>
      <w:bookmarkEnd w:id="2"/>
      <w:r>
        <w:t xml:space="preserve">, </w:t>
      </w:r>
      <w:r w:rsidR="00484799">
        <w:t>and then convert to m</w:t>
      </w:r>
      <w:bookmarkStart w:id="3" w:name="OLE_LINK3"/>
      <w:bookmarkStart w:id="4" w:name="OLE_LINK4"/>
      <w:r w:rsidRPr="00484799">
        <w:rPr>
          <w:vertAlign w:val="superscript"/>
        </w:rPr>
        <w:t>4</w:t>
      </w:r>
      <w:bookmarkEnd w:id="3"/>
      <w:bookmarkEnd w:id="4"/>
      <w:r w:rsidR="00484799">
        <w:t xml:space="preserve"> (from mm</w:t>
      </w:r>
      <w:r w:rsidR="00484799" w:rsidRPr="00484799">
        <w:rPr>
          <w:vertAlign w:val="superscript"/>
        </w:rPr>
        <w:t>4</w:t>
      </w:r>
      <w:r>
        <w:t>; divide by 10</w:t>
      </w:r>
      <w:r w:rsidRPr="007E7CF4">
        <w:rPr>
          <w:vertAlign w:val="superscript"/>
        </w:rPr>
        <w:t>12</w:t>
      </w:r>
      <w:r>
        <w:t xml:space="preserve">), so </w:t>
      </w:r>
      <w:r w:rsidRPr="007E7CF4">
        <w:rPr>
          <w:rFonts w:ascii="Times New Roman" w:hAnsi="Times New Roman" w:cs="Times New Roman"/>
        </w:rPr>
        <w:t>I</w:t>
      </w:r>
      <w:r>
        <w:t xml:space="preserve"> = 1.35 x 10</w:t>
      </w:r>
      <w:r>
        <w:rPr>
          <w:vertAlign w:val="superscript"/>
        </w:rPr>
        <w:t>-4</w:t>
      </w:r>
      <w:r w:rsidR="00B14F53">
        <w:t xml:space="preserve"> m</w:t>
      </w:r>
      <w:r w:rsidR="00B14F53" w:rsidRPr="00484799">
        <w:rPr>
          <w:vertAlign w:val="superscript"/>
        </w:rPr>
        <w:t>4</w:t>
      </w:r>
    </w:p>
    <w:p w:rsidR="007E7CF4" w:rsidRDefault="00C72BD2" w:rsidP="00807FAE">
      <w:pPr>
        <w:keepNext/>
      </w:pPr>
      <w:r>
        <w:lastRenderedPageBreak/>
        <w:t>A quick</w:t>
      </w:r>
      <w:r w:rsidR="000C579F">
        <w:t>er</w:t>
      </w:r>
      <w:r>
        <w:t xml:space="preserve"> approximation for the area moment of inertia can be made by</w:t>
      </w:r>
      <w:r w:rsidR="00D62CFA">
        <w:t xml:space="preserve"> using the moment of inertia of a thin walled triangle, less the moments of inertia of the missing sides:</w:t>
      </w:r>
    </w:p>
    <w:p w:rsidR="00D62CFA" w:rsidRDefault="00D62CFA" w:rsidP="00807FAE">
      <w:r w:rsidRPr="00D62CFA">
        <w:rPr>
          <w:noProof/>
        </w:rPr>
        <w:drawing>
          <wp:inline distT="0" distB="0" distL="0" distR="0" wp14:anchorId="256EDF95" wp14:editId="298425BB">
            <wp:extent cx="3683000" cy="34603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3000" cy="3460321"/>
                    </a:xfrm>
                    <a:prstGeom prst="rect">
                      <a:avLst/>
                    </a:prstGeom>
                    <a:noFill/>
                    <a:ln>
                      <a:noFill/>
                    </a:ln>
                  </pic:spPr>
                </pic:pic>
              </a:graphicData>
            </a:graphic>
          </wp:inline>
        </w:drawing>
      </w:r>
    </w:p>
    <w:p w:rsidR="00571437" w:rsidRDefault="00571437" w:rsidP="00807FAE">
      <w:r>
        <w:t xml:space="preserve">From </w:t>
      </w:r>
      <w:r w:rsidR="00FB6A71">
        <w:t xml:space="preserve">W.C. Young, </w:t>
      </w:r>
      <w:r w:rsidRPr="005352E9">
        <w:rPr>
          <w:u w:val="single"/>
        </w:rPr>
        <w:t>Roark’s Formulas for Stress and Strain</w:t>
      </w:r>
      <w:r>
        <w:t>, 6</w:t>
      </w:r>
      <w:r w:rsidRPr="00571437">
        <w:rPr>
          <w:vertAlign w:val="superscript"/>
        </w:rPr>
        <w:t>th</w:t>
      </w:r>
      <w:r>
        <w:t xml:space="preserve"> edition</w:t>
      </w:r>
      <w:r w:rsidR="00484799">
        <w:t>, Table 1, case 28, for a hollow regular polygon with n sides:</w:t>
      </w:r>
    </w:p>
    <w:p w:rsidR="00484799" w:rsidRPr="0096544A" w:rsidRDefault="000C579F" w:rsidP="00807FAE">
      <w:pPr>
        <w:rPr>
          <w:rFonts w:eastAsiaTheme="minorEastAsia"/>
        </w:rPr>
      </w:pPr>
      <m:oMathPara>
        <m:oMath>
          <m:r>
            <w:rPr>
              <w:rFonts w:ascii="Cambria Math" w:hAnsi="Cambria Math"/>
            </w:rPr>
            <m:t>I=</m:t>
          </m:r>
          <m:f>
            <m:fPr>
              <m:ctrlPr>
                <w:rPr>
                  <w:rFonts w:ascii="Cambria Math" w:hAnsi="Cambria Math"/>
                  <w:i/>
                </w:rPr>
              </m:ctrlPr>
            </m:fPr>
            <m:num>
              <m:r>
                <w:rPr>
                  <w:rFonts w:ascii="Cambria Math" w:hAnsi="Cambria Math"/>
                </w:rPr>
                <m:t>n</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t</m:t>
              </m:r>
            </m:num>
            <m:den>
              <m:r>
                <w:rPr>
                  <w:rFonts w:ascii="Cambria Math" w:hAnsi="Cambria Math"/>
                </w:rPr>
                <m:t>8</m:t>
              </m:r>
            </m:den>
          </m:f>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func>
                    <m:funcPr>
                      <m:ctrlPr>
                        <w:rPr>
                          <w:rFonts w:ascii="Cambria Math" w:hAnsi="Cambria Math"/>
                          <w:i/>
                        </w:rPr>
                      </m:ctrlPr>
                    </m:funcPr>
                    <m:fName>
                      <m:sSup>
                        <m:sSupPr>
                          <m:ctrlPr>
                            <w:rPr>
                              <w:rFonts w:ascii="Cambria Math" w:hAnsi="Cambria Math"/>
                            </w:rPr>
                          </m:ctrlPr>
                        </m:sSupPr>
                        <m:e>
                          <m:r>
                            <w:rPr>
                              <w:rFonts w:ascii="Cambria Math" w:hAnsi="Cambria Math"/>
                            </w:rPr>
                            <m:t>tan</m:t>
                          </m:r>
                        </m:e>
                        <m:sup>
                          <m:r>
                            <w:rPr>
                              <w:rFonts w:ascii="Cambria Math" w:hAnsi="Cambria Math"/>
                            </w:rPr>
                            <m:t>2</m:t>
                          </m:r>
                        </m:sup>
                      </m:sSup>
                    </m:fName>
                    <m:e>
                      <m:r>
                        <w:rPr>
                          <w:rFonts w:ascii="Cambria Math" w:hAnsi="Cambria Math"/>
                        </w:rPr>
                        <m:t>α</m:t>
                      </m:r>
                    </m:e>
                  </m:func>
                </m:den>
              </m:f>
            </m:e>
          </m:d>
          <m:d>
            <m:dPr>
              <m:begChr m:val="["/>
              <m:endChr m:val="]"/>
              <m:ctrlPr>
                <w:rPr>
                  <w:rFonts w:ascii="Cambria Math" w:hAnsi="Cambria Math"/>
                  <w:i/>
                </w:rPr>
              </m:ctrlPr>
            </m:dPr>
            <m:e>
              <m:r>
                <w:rPr>
                  <w:rFonts w:ascii="Cambria Math" w:hAnsi="Cambria Math"/>
                </w:rPr>
                <m:t>1-3</m:t>
              </m:r>
              <m:f>
                <m:fPr>
                  <m:ctrlPr>
                    <w:rPr>
                      <w:rFonts w:ascii="Cambria Math" w:hAnsi="Cambria Math"/>
                      <w:i/>
                    </w:rPr>
                  </m:ctrlPr>
                </m:fPr>
                <m:num>
                  <m:r>
                    <w:rPr>
                      <w:rFonts w:ascii="Cambria Math" w:hAnsi="Cambria Math"/>
                    </w:rPr>
                    <m:t xml:space="preserve">t </m:t>
                  </m:r>
                  <m:func>
                    <m:funcPr>
                      <m:ctrlPr>
                        <w:rPr>
                          <w:rFonts w:ascii="Cambria Math" w:hAnsi="Cambria Math"/>
                          <w:i/>
                        </w:rPr>
                      </m:ctrlPr>
                    </m:funcPr>
                    <m:fName>
                      <m:r>
                        <m:rPr>
                          <m:sty m:val="p"/>
                        </m:rPr>
                        <w:rPr>
                          <w:rFonts w:ascii="Cambria Math" w:hAnsi="Cambria Math"/>
                        </w:rPr>
                        <m:t>tan</m:t>
                      </m:r>
                    </m:fName>
                    <m:e>
                      <m:r>
                        <w:rPr>
                          <w:rFonts w:ascii="Cambria Math" w:hAnsi="Cambria Math"/>
                        </w:rPr>
                        <m:t>α</m:t>
                      </m:r>
                    </m:e>
                  </m:func>
                </m:num>
                <m:den>
                  <m:r>
                    <w:rPr>
                      <w:rFonts w:ascii="Cambria Math" w:hAnsi="Cambria Math"/>
                    </w:rPr>
                    <m:t>α</m:t>
                  </m:r>
                </m:den>
              </m:f>
              <m:r>
                <w:rPr>
                  <w:rFonts w:ascii="Cambria Math" w:hAnsi="Cambria Math"/>
                </w:rPr>
                <m:t>+4</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 xml:space="preserve">t </m:t>
                          </m:r>
                          <m:func>
                            <m:funcPr>
                              <m:ctrlPr>
                                <w:rPr>
                                  <w:rFonts w:ascii="Cambria Math" w:hAnsi="Cambria Math"/>
                                  <w:i/>
                                </w:rPr>
                              </m:ctrlPr>
                            </m:funcPr>
                            <m:fName>
                              <m:r>
                                <m:rPr>
                                  <m:sty m:val="p"/>
                                </m:rPr>
                                <w:rPr>
                                  <w:rFonts w:ascii="Cambria Math" w:hAnsi="Cambria Math"/>
                                </w:rPr>
                                <m:t>tan</m:t>
                              </m:r>
                            </m:fName>
                            <m:e>
                              <m:r>
                                <w:rPr>
                                  <w:rFonts w:ascii="Cambria Math" w:hAnsi="Cambria Math"/>
                                </w:rPr>
                                <m:t>α</m:t>
                              </m:r>
                            </m:e>
                          </m:func>
                        </m:num>
                        <m:den>
                          <m:r>
                            <w:rPr>
                              <w:rFonts w:ascii="Cambria Math" w:hAnsi="Cambria Math"/>
                            </w:rPr>
                            <m:t>α</m:t>
                          </m:r>
                        </m:den>
                      </m:f>
                    </m:e>
                  </m:d>
                </m:e>
                <m:sup>
                  <m:r>
                    <w:rPr>
                      <w:rFonts w:ascii="Cambria Math" w:hAnsi="Cambria Math"/>
                    </w:rPr>
                    <m:t>2</m:t>
                  </m:r>
                </m:sup>
              </m:sSup>
              <m:r>
                <w:rPr>
                  <w:rFonts w:ascii="Cambria Math" w:hAnsi="Cambria Math"/>
                </w:rPr>
                <m:t>-2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 xml:space="preserve">t </m:t>
                          </m:r>
                          <m:func>
                            <m:funcPr>
                              <m:ctrlPr>
                                <w:rPr>
                                  <w:rFonts w:ascii="Cambria Math" w:hAnsi="Cambria Math"/>
                                  <w:i/>
                                </w:rPr>
                              </m:ctrlPr>
                            </m:funcPr>
                            <m:fName>
                              <m:r>
                                <m:rPr>
                                  <m:sty m:val="p"/>
                                </m:rPr>
                                <w:rPr>
                                  <w:rFonts w:ascii="Cambria Math" w:hAnsi="Cambria Math"/>
                                </w:rPr>
                                <m:t>tan</m:t>
                              </m:r>
                            </m:fName>
                            <m:e>
                              <m:r>
                                <w:rPr>
                                  <w:rFonts w:ascii="Cambria Math" w:hAnsi="Cambria Math"/>
                                </w:rPr>
                                <m:t>α</m:t>
                              </m:r>
                            </m:e>
                          </m:func>
                        </m:num>
                        <m:den>
                          <m:r>
                            <w:rPr>
                              <w:rFonts w:ascii="Cambria Math" w:hAnsi="Cambria Math"/>
                            </w:rPr>
                            <m:t>α</m:t>
                          </m:r>
                        </m:den>
                      </m:f>
                    </m:e>
                  </m:d>
                </m:e>
                <m:sup>
                  <m:r>
                    <w:rPr>
                      <w:rFonts w:ascii="Cambria Math" w:hAnsi="Cambria Math"/>
                    </w:rPr>
                    <m:t>3</m:t>
                  </m:r>
                </m:sup>
              </m:sSup>
            </m:e>
          </m:d>
        </m:oMath>
      </m:oMathPara>
    </w:p>
    <w:p w:rsidR="0096544A" w:rsidRDefault="00BF227F" w:rsidP="00807FAE">
      <w:proofErr w:type="gramStart"/>
      <w:r>
        <w:t>where</w:t>
      </w:r>
      <w:proofErr w:type="gramEnd"/>
      <w:r>
        <w:t xml:space="preserve"> n = 3, a is the length of the sides of the triangle</w:t>
      </w:r>
      <w:r w:rsidR="005352E9">
        <w:t>, or a = 690 mm</w:t>
      </w:r>
      <w:r>
        <w:t xml:space="preserve">, </w:t>
      </w:r>
      <w:r w:rsidR="005352E9" w:rsidRPr="00B14F53">
        <w:rPr>
          <w:rFonts w:ascii="Symbol" w:hAnsi="Symbol"/>
        </w:rPr>
        <w:t></w:t>
      </w:r>
      <w:r w:rsidR="005352E9">
        <w:t xml:space="preserve"> is the angle subtended by each side, or </w:t>
      </w:r>
      <w:r w:rsidR="005352E9" w:rsidRPr="00B14F53">
        <w:rPr>
          <w:rFonts w:ascii="Symbol" w:hAnsi="Symbol"/>
        </w:rPr>
        <w:t></w:t>
      </w:r>
      <w:r w:rsidR="005352E9">
        <w:t xml:space="preserve"> = 360/n = 120 </w:t>
      </w:r>
      <w:proofErr w:type="spellStart"/>
      <w:r w:rsidR="005352E9">
        <w:t>deg</w:t>
      </w:r>
      <w:proofErr w:type="spellEnd"/>
      <w:r w:rsidR="005352E9">
        <w:t xml:space="preserve"> and t = the wall thickness = 1.9 mm, so </w:t>
      </w:r>
      <w:r w:rsidR="005352E9" w:rsidRPr="007E7CF4">
        <w:rPr>
          <w:rFonts w:ascii="Times New Roman" w:hAnsi="Times New Roman" w:cs="Times New Roman"/>
        </w:rPr>
        <w:t>I</w:t>
      </w:r>
      <w:r w:rsidR="005352E9">
        <w:t xml:space="preserve"> = 1.32 x 10</w:t>
      </w:r>
      <w:r w:rsidR="005352E9">
        <w:rPr>
          <w:vertAlign w:val="superscript"/>
        </w:rPr>
        <w:t>-4</w:t>
      </w:r>
      <w:r w:rsidR="00B14F53" w:rsidRPr="00B14F53">
        <w:t xml:space="preserve"> </w:t>
      </w:r>
      <w:r w:rsidR="00B14F53">
        <w:t>m</w:t>
      </w:r>
      <w:r w:rsidR="00B14F53" w:rsidRPr="00484799">
        <w:rPr>
          <w:vertAlign w:val="superscript"/>
        </w:rPr>
        <w:t>4</w:t>
      </w:r>
      <w:r w:rsidR="004620BF" w:rsidRPr="004620BF">
        <w:t xml:space="preserve"> </w:t>
      </w:r>
    </w:p>
    <w:p w:rsidR="004620BF" w:rsidRDefault="006A7E25" w:rsidP="00807FAE">
      <w:pPr>
        <w:pStyle w:val="Heading1"/>
      </w:pPr>
      <w:r>
        <w:t>First Bending Frequency</w:t>
      </w:r>
    </w:p>
    <w:p w:rsidR="00FB6A71" w:rsidRDefault="00FB6A71" w:rsidP="00807FAE">
      <w:r>
        <w:t xml:space="preserve">The </w:t>
      </w:r>
      <w:proofErr w:type="spellStart"/>
      <w:r>
        <w:t>Pcal</w:t>
      </w:r>
      <w:proofErr w:type="spellEnd"/>
      <w:r>
        <w:t xml:space="preserve"> Pylon is not a slender beam. However, it is a little beam-like in that it is longer (1.6 m) than it is wide (0.7 m), though not by much. So while we should not expect a simple bean bending frequency to be a close match it may serve to give a very rough approximation to the first beam-like bending mode and give us a rough dependence on the governing parameters. From R.D. Blevins, </w:t>
      </w:r>
      <w:r w:rsidRPr="00FB6A71">
        <w:rPr>
          <w:u w:val="single"/>
        </w:rPr>
        <w:t>Formulas for Natural Frequency and Mode Shape</w:t>
      </w:r>
      <w:r>
        <w:t xml:space="preserve">, for a cantilevered beam with </w:t>
      </w:r>
      <w:r w:rsidR="00855DBD">
        <w:t>an end mass (Table 8-8, case 2), the first bending frequency is</w:t>
      </w:r>
    </w:p>
    <w:p w:rsidR="00FB6A71" w:rsidRPr="002F6926" w:rsidRDefault="00AD3280" w:rsidP="00807FA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m:t>
              </m:r>
            </m:den>
          </m:f>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3EI</m:t>
                      </m:r>
                    </m:num>
                    <m:den>
                      <m:sSup>
                        <m:sSupPr>
                          <m:ctrlPr>
                            <w:rPr>
                              <w:rFonts w:ascii="Cambria Math" w:hAnsi="Cambria Math"/>
                              <w:i/>
                            </w:rPr>
                          </m:ctrlPr>
                        </m:sSupPr>
                        <m:e>
                          <m:r>
                            <w:rPr>
                              <w:rFonts w:ascii="Cambria Math" w:hAnsi="Cambria Math"/>
                            </w:rPr>
                            <m:t>L</m:t>
                          </m:r>
                        </m:e>
                        <m:sup>
                          <m:r>
                            <w:rPr>
                              <w:rFonts w:ascii="Cambria Math" w:hAnsi="Cambria Math"/>
                            </w:rPr>
                            <m:t>3</m:t>
                          </m:r>
                        </m:sup>
                      </m:sSup>
                      <m:d>
                        <m:dPr>
                          <m:ctrlPr>
                            <w:rPr>
                              <w:rFonts w:ascii="Cambria Math" w:hAnsi="Cambria Math"/>
                              <w:i/>
                            </w:rPr>
                          </m:ctrlPr>
                        </m:dPr>
                        <m:e>
                          <m:r>
                            <w:rPr>
                              <w:rFonts w:ascii="Cambria Math" w:hAnsi="Cambria Math"/>
                            </w:rPr>
                            <m:t>M+.24</m:t>
                          </m:r>
                          <m:sSub>
                            <m:sSubPr>
                              <m:ctrlPr>
                                <w:rPr>
                                  <w:rFonts w:ascii="Cambria Math" w:hAnsi="Cambria Math"/>
                                  <w:i/>
                                </w:rPr>
                              </m:ctrlPr>
                            </m:sSubPr>
                            <m:e>
                              <m:r>
                                <w:rPr>
                                  <w:rFonts w:ascii="Cambria Math" w:hAnsi="Cambria Math"/>
                                </w:rPr>
                                <m:t>M</m:t>
                              </m:r>
                            </m:e>
                            <m:sub>
                              <m:r>
                                <w:rPr>
                                  <w:rFonts w:ascii="Cambria Math" w:hAnsi="Cambria Math"/>
                                </w:rPr>
                                <m:t>b</m:t>
                              </m:r>
                            </m:sub>
                          </m:sSub>
                        </m:e>
                      </m:d>
                    </m:den>
                  </m:f>
                </m:e>
              </m:d>
            </m:e>
            <m:sup>
              <m:r>
                <w:rPr>
                  <w:rFonts w:ascii="Cambria Math" w:hAnsi="Cambria Math"/>
                </w:rPr>
                <m:t>1/2</m:t>
              </m:r>
            </m:sup>
          </m:sSup>
        </m:oMath>
      </m:oMathPara>
    </w:p>
    <w:p w:rsidR="002F6926" w:rsidRDefault="00855DBD" w:rsidP="00807FAE">
      <w:pPr>
        <w:rPr>
          <w:rFonts w:eastAsiaTheme="minorEastAsia"/>
        </w:rPr>
      </w:pPr>
      <w:r>
        <w:rPr>
          <w:rFonts w:eastAsiaTheme="minorEastAsia"/>
        </w:rPr>
        <w:lastRenderedPageBreak/>
        <w:t xml:space="preserve">where E = elastic modulus (= 193 </w:t>
      </w:r>
      <w:proofErr w:type="spellStart"/>
      <w:r>
        <w:rPr>
          <w:rFonts w:eastAsiaTheme="minorEastAsia"/>
        </w:rPr>
        <w:t>GPa</w:t>
      </w:r>
      <w:proofErr w:type="spellEnd"/>
      <w:r>
        <w:rPr>
          <w:rFonts w:eastAsiaTheme="minorEastAsia"/>
        </w:rPr>
        <w:t xml:space="preserve"> for stainless steel), </w:t>
      </w:r>
      <w:r w:rsidRPr="00855DBD">
        <w:rPr>
          <w:rFonts w:ascii="Times New Roman" w:eastAsiaTheme="minorEastAsia" w:hAnsi="Times New Roman" w:cs="Times New Roman"/>
        </w:rPr>
        <w:t>I</w:t>
      </w:r>
      <w:r>
        <w:rPr>
          <w:rFonts w:eastAsiaTheme="minorEastAsia"/>
        </w:rPr>
        <w:t xml:space="preserve"> is the area moment of inertia of the beam cross-section (=</w:t>
      </w:r>
      <w:r>
        <w:t>1.35 x 10</w:t>
      </w:r>
      <w:r>
        <w:rPr>
          <w:vertAlign w:val="superscript"/>
        </w:rPr>
        <w:t>-4</w:t>
      </w:r>
      <w:r>
        <w:t xml:space="preserve"> m</w:t>
      </w:r>
      <w:r w:rsidRPr="00484799">
        <w:rPr>
          <w:vertAlign w:val="superscript"/>
        </w:rPr>
        <w:t>4</w:t>
      </w:r>
      <w:r>
        <w:rPr>
          <w:rFonts w:eastAsiaTheme="minorEastAsia"/>
        </w:rPr>
        <w:t>, determined in the previous section)</w:t>
      </w:r>
      <w:r w:rsidR="00862E11">
        <w:rPr>
          <w:rFonts w:eastAsiaTheme="minorEastAsia"/>
        </w:rPr>
        <w:t>, L is the beam length (= 1.65</w:t>
      </w:r>
      <w:r>
        <w:rPr>
          <w:rFonts w:eastAsiaTheme="minorEastAsia"/>
        </w:rPr>
        <w:t xml:space="preserve"> m), M is the added discrete mass at the end of the beam (= 55.7 kg, the sum of the upper ring mass, 25.7 kg, and the payload mass, 30 kg) and M</w:t>
      </w:r>
      <w:r>
        <w:rPr>
          <w:rFonts w:eastAsiaTheme="minorEastAsia"/>
          <w:vertAlign w:val="subscript"/>
        </w:rPr>
        <w:t>b</w:t>
      </w:r>
      <w:r>
        <w:rPr>
          <w:rFonts w:eastAsiaTheme="minorEastAsia"/>
        </w:rPr>
        <w:t xml:space="preserve"> is the mass of the beam itself (= 40.1 kg, determined with </w:t>
      </w:r>
      <w:proofErr w:type="spellStart"/>
      <w:r>
        <w:rPr>
          <w:rFonts w:eastAsiaTheme="minorEastAsia"/>
        </w:rPr>
        <w:t>SolidWorks</w:t>
      </w:r>
      <w:proofErr w:type="spellEnd"/>
      <w:r>
        <w:rPr>
          <w:rFonts w:eastAsiaTheme="minorEastAsia"/>
        </w:rPr>
        <w:t>). Consequently, f</w:t>
      </w:r>
      <w:r w:rsidRPr="00855DBD">
        <w:rPr>
          <w:rFonts w:eastAsiaTheme="minorEastAsia"/>
          <w:vertAlign w:val="subscript"/>
        </w:rPr>
        <w:t>1</w:t>
      </w:r>
      <w:r>
        <w:rPr>
          <w:rFonts w:eastAsiaTheme="minorEastAsia"/>
        </w:rPr>
        <w:t xml:space="preserve"> = 81 Hz.</w:t>
      </w:r>
    </w:p>
    <w:p w:rsidR="00270C1B" w:rsidRDefault="00347A0E" w:rsidP="00807FAE">
      <w:pPr>
        <w:rPr>
          <w:rFonts w:eastAsiaTheme="minorEastAsia"/>
        </w:rPr>
      </w:pPr>
      <w:r>
        <w:rPr>
          <w:rFonts w:eastAsiaTheme="minorEastAsia"/>
        </w:rPr>
        <w:t>The corresponding first bending modes from the FEA analysis are modes 5 and 6 at 56 Hz. The beam analysis over estimates the first bending frequency by a factor of 1.45</w:t>
      </w:r>
    </w:p>
    <w:tbl>
      <w:tblPr>
        <w:tblStyle w:val="TableGrid"/>
        <w:tblW w:w="0" w:type="auto"/>
        <w:tblLook w:val="04A0" w:firstRow="1" w:lastRow="0" w:firstColumn="1" w:lastColumn="0" w:noHBand="0" w:noVBand="1"/>
      </w:tblPr>
      <w:tblGrid>
        <w:gridCol w:w="4834"/>
        <w:gridCol w:w="4742"/>
      </w:tblGrid>
      <w:tr w:rsidR="00A3242D" w:rsidTr="00A3242D">
        <w:tc>
          <w:tcPr>
            <w:tcW w:w="4788" w:type="dxa"/>
          </w:tcPr>
          <w:p w:rsidR="00A3242D" w:rsidRDefault="00A3242D" w:rsidP="00807FAE">
            <w:pPr>
              <w:rPr>
                <w:rFonts w:eastAsiaTheme="minorEastAsia"/>
              </w:rPr>
            </w:pPr>
            <w:r>
              <w:rPr>
                <w:rFonts w:eastAsiaTheme="minorEastAsia"/>
                <w:noProof/>
              </w:rPr>
              <w:drawing>
                <wp:inline distT="0" distB="0" distL="0" distR="0">
                  <wp:extent cx="3090672" cy="3941064"/>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5 56hz.JPG"/>
                          <pic:cNvPicPr/>
                        </pic:nvPicPr>
                        <pic:blipFill>
                          <a:blip r:embed="rId13">
                            <a:extLst>
                              <a:ext uri="{28A0092B-C50C-407E-A947-70E740481C1C}">
                                <a14:useLocalDpi xmlns:a14="http://schemas.microsoft.com/office/drawing/2010/main" val="0"/>
                              </a:ext>
                            </a:extLst>
                          </a:blip>
                          <a:stretch>
                            <a:fillRect/>
                          </a:stretch>
                        </pic:blipFill>
                        <pic:spPr>
                          <a:xfrm>
                            <a:off x="0" y="0"/>
                            <a:ext cx="3090672" cy="3941064"/>
                          </a:xfrm>
                          <a:prstGeom prst="rect">
                            <a:avLst/>
                          </a:prstGeom>
                        </pic:spPr>
                      </pic:pic>
                    </a:graphicData>
                  </a:graphic>
                </wp:inline>
              </w:drawing>
            </w:r>
          </w:p>
        </w:tc>
        <w:tc>
          <w:tcPr>
            <w:tcW w:w="4788" w:type="dxa"/>
          </w:tcPr>
          <w:p w:rsidR="00A3242D" w:rsidRDefault="00A3242D" w:rsidP="00807FAE">
            <w:pPr>
              <w:rPr>
                <w:rFonts w:eastAsiaTheme="minorEastAsia"/>
              </w:rPr>
            </w:pPr>
            <w:r>
              <w:rPr>
                <w:rFonts w:eastAsiaTheme="minorEastAsia"/>
                <w:noProof/>
              </w:rPr>
              <w:drawing>
                <wp:inline distT="0" distB="0" distL="0" distR="0">
                  <wp:extent cx="3026664" cy="3904488"/>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6 56hz.JPG"/>
                          <pic:cNvPicPr/>
                        </pic:nvPicPr>
                        <pic:blipFill>
                          <a:blip r:embed="rId14">
                            <a:extLst>
                              <a:ext uri="{28A0092B-C50C-407E-A947-70E740481C1C}">
                                <a14:useLocalDpi xmlns:a14="http://schemas.microsoft.com/office/drawing/2010/main" val="0"/>
                              </a:ext>
                            </a:extLst>
                          </a:blip>
                          <a:stretch>
                            <a:fillRect/>
                          </a:stretch>
                        </pic:blipFill>
                        <pic:spPr>
                          <a:xfrm>
                            <a:off x="0" y="0"/>
                            <a:ext cx="3026664" cy="3904488"/>
                          </a:xfrm>
                          <a:prstGeom prst="rect">
                            <a:avLst/>
                          </a:prstGeom>
                        </pic:spPr>
                      </pic:pic>
                    </a:graphicData>
                  </a:graphic>
                </wp:inline>
              </w:drawing>
            </w:r>
          </w:p>
        </w:tc>
      </w:tr>
    </w:tbl>
    <w:p w:rsidR="00A3242D" w:rsidRPr="00270C1B" w:rsidRDefault="00A3242D" w:rsidP="00807FAE">
      <w:pPr>
        <w:rPr>
          <w:rFonts w:eastAsiaTheme="minorEastAsia"/>
        </w:rPr>
      </w:pPr>
    </w:p>
    <w:p w:rsidR="001A7E58" w:rsidRDefault="001A7E58" w:rsidP="00807FAE">
      <w:pPr>
        <w:pStyle w:val="Heading1"/>
      </w:pPr>
      <w:r>
        <w:t>First Torsional Frequency</w:t>
      </w:r>
    </w:p>
    <w:p w:rsidR="001A7E58" w:rsidRDefault="001A7E58" w:rsidP="00807FAE">
      <w:r>
        <w:t xml:space="preserve">The </w:t>
      </w:r>
      <w:proofErr w:type="spellStart"/>
      <w:r>
        <w:t>Pcal</w:t>
      </w:r>
      <w:proofErr w:type="spellEnd"/>
      <w:r>
        <w:t xml:space="preserve"> Pylon is not a uniform shaft. In particular the holes in its sides disrupt uniform shear flow. As a consequence we should not expect a simple shaft torsional frequency analysis to match the finite element analysis (or more importantly test results) very well. However it may serve to give a very rough approximation to the first torsional frequency and give us a rough dependence on the governing parameters. From R.D. Blevins, </w:t>
      </w:r>
      <w:r w:rsidRPr="00FB6A71">
        <w:rPr>
          <w:u w:val="single"/>
        </w:rPr>
        <w:t>Formulas for Natural Frequency and Mode Shape</w:t>
      </w:r>
      <w:r>
        <w:t>, for a uniform shaft with an end inertial mass (Table 8-19, case 6), the first torsional frequency is</w:t>
      </w:r>
    </w:p>
    <w:p w:rsidR="001A7E58" w:rsidRPr="00DC6218" w:rsidRDefault="00AD3280" w:rsidP="00807FAE">
      <w:pPr>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1</m:t>
                  </m:r>
                </m:sub>
              </m:sSub>
            </m:num>
            <m:den>
              <m:r>
                <w:rPr>
                  <w:rFonts w:ascii="Cambria Math" w:hAnsi="Cambria Math"/>
                </w:rPr>
                <m:t>2πL</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CG</m:t>
                      </m:r>
                    </m:num>
                    <m:den>
                      <m:r>
                        <w:rPr>
                          <w:rFonts w:ascii="Cambria Math" w:hAnsi="Cambria Math"/>
                        </w:rPr>
                        <m:t>μ</m:t>
                      </m:r>
                      <m:sSub>
                        <m:sSubPr>
                          <m:ctrlPr>
                            <w:rPr>
                              <w:rFonts w:ascii="Cambria Math" w:hAnsi="Cambria Math"/>
                              <w:i/>
                            </w:rPr>
                          </m:ctrlPr>
                        </m:sSubPr>
                        <m:e>
                          <m:r>
                            <w:rPr>
                              <w:rFonts w:ascii="Cambria Math" w:hAnsi="Cambria Math"/>
                            </w:rPr>
                            <m:t>I</m:t>
                          </m:r>
                        </m:e>
                        <m:sub>
                          <m:r>
                            <w:rPr>
                              <w:rFonts w:ascii="Cambria Math" w:hAnsi="Cambria Math"/>
                            </w:rPr>
                            <m:t>p</m:t>
                          </m:r>
                        </m:sub>
                      </m:sSub>
                    </m:den>
                  </m:f>
                </m:e>
              </m:d>
            </m:e>
            <m:sup>
              <m:r>
                <w:rPr>
                  <w:rFonts w:ascii="Cambria Math" w:hAnsi="Cambria Math"/>
                </w:rPr>
                <m:t>1/2</m:t>
              </m:r>
            </m:sup>
          </m:sSup>
        </m:oMath>
      </m:oMathPara>
    </w:p>
    <w:p w:rsidR="00DC6218" w:rsidRDefault="00DC6218" w:rsidP="00807FAE">
      <w:pPr>
        <w:rPr>
          <w:rFonts w:eastAsiaTheme="minorEastAsia"/>
        </w:rPr>
      </w:pPr>
      <w:proofErr w:type="gramStart"/>
      <w:r>
        <w:rPr>
          <w:rFonts w:eastAsiaTheme="minorEastAsia"/>
        </w:rPr>
        <w:lastRenderedPageBreak/>
        <w:t>where</w:t>
      </w:r>
      <w:proofErr w:type="gramEnd"/>
      <w:r>
        <w:rPr>
          <w:rFonts w:eastAsiaTheme="minorEastAsia"/>
        </w:rPr>
        <w:t xml:space="preserve"> </w:t>
      </w:r>
      <w:r w:rsidR="002D0F14">
        <w:rPr>
          <w:rFonts w:eastAsiaTheme="minorEastAsia"/>
        </w:rPr>
        <w:t xml:space="preserve">the eigenvalue </w:t>
      </w:r>
      <w:r w:rsidR="002D0F14" w:rsidRPr="002D0F14">
        <w:rPr>
          <w:rFonts w:ascii="Symbol" w:eastAsiaTheme="minorEastAsia" w:hAnsi="Symbol"/>
        </w:rPr>
        <w:t></w:t>
      </w:r>
      <w:r w:rsidR="002D0F14" w:rsidRPr="002D0F14">
        <w:rPr>
          <w:rFonts w:eastAsiaTheme="minorEastAsia"/>
          <w:vertAlign w:val="subscript"/>
        </w:rPr>
        <w:t>1</w:t>
      </w:r>
      <w:r w:rsidR="002D0F14">
        <w:rPr>
          <w:rFonts w:eastAsiaTheme="minorEastAsia"/>
        </w:rPr>
        <w:t xml:space="preserve"> is the solution to the transcendental equation:</w:t>
      </w:r>
    </w:p>
    <w:p w:rsidR="002D0F14" w:rsidRPr="002D0F14" w:rsidRDefault="00AD3280" w:rsidP="00807FAE">
      <w:pPr>
        <w:rPr>
          <w:rFonts w:eastAsiaTheme="minorEastAsia"/>
        </w:rPr>
      </w:pPr>
      <m:oMathPara>
        <m:oMath>
          <m:func>
            <m:funcPr>
              <m:ctrlPr>
                <w:rPr>
                  <w:rFonts w:ascii="Cambria Math" w:hAnsi="Cambria Math"/>
                  <w:i/>
                </w:rPr>
              </m:ctrlPr>
            </m:funcPr>
            <m:fName>
              <m:r>
                <m:rPr>
                  <m:sty m:val="p"/>
                </m:rPr>
                <w:rPr>
                  <w:rFonts w:ascii="Cambria Math" w:hAnsi="Cambria Math"/>
                </w:rPr>
                <m:t>cot</m:t>
              </m:r>
            </m:fName>
            <m:e>
              <m:r>
                <w:rPr>
                  <w:rFonts w:ascii="Cambria Math" w:hAnsi="Cambria Math"/>
                </w:rPr>
                <m:t>λ</m:t>
              </m:r>
            </m:e>
          </m:func>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J</m:t>
                  </m:r>
                </m:num>
                <m:den>
                  <m:r>
                    <w:rPr>
                      <w:rFonts w:ascii="Cambria Math" w:hAnsi="Cambria Math"/>
                    </w:rPr>
                    <m:t>μLC</m:t>
                  </m:r>
                </m:den>
              </m:f>
            </m:e>
          </m:d>
          <m:r>
            <w:rPr>
              <w:rFonts w:ascii="Cambria Math" w:hAnsi="Cambria Math"/>
            </w:rPr>
            <m:t>λ</m:t>
          </m:r>
        </m:oMath>
      </m:oMathPara>
    </w:p>
    <w:p w:rsidR="002D0F14" w:rsidRDefault="00862E11" w:rsidP="00807FAE">
      <w:pPr>
        <w:rPr>
          <w:rFonts w:eastAsiaTheme="minorEastAsia"/>
        </w:rPr>
      </w:pPr>
      <w:proofErr w:type="gramStart"/>
      <w:r>
        <w:rPr>
          <w:rFonts w:eastAsiaTheme="minorEastAsia"/>
        </w:rPr>
        <w:t>which</w:t>
      </w:r>
      <w:proofErr w:type="gramEnd"/>
      <w:r>
        <w:rPr>
          <w:rFonts w:eastAsiaTheme="minorEastAsia"/>
        </w:rPr>
        <w:t xml:space="preserve"> is given in Figure 8-23, L is the shaft length (</w:t>
      </w:r>
      <w:r w:rsidR="0058283A">
        <w:rPr>
          <w:rFonts w:eastAsiaTheme="minorEastAsia"/>
        </w:rPr>
        <w:t>see below</w:t>
      </w:r>
      <w:r>
        <w:rPr>
          <w:rFonts w:eastAsiaTheme="minorEastAsia"/>
        </w:rPr>
        <w:t>), G is the shear modulus:</w:t>
      </w:r>
    </w:p>
    <w:p w:rsidR="00862E11" w:rsidRPr="00862E11" w:rsidRDefault="00862E11" w:rsidP="00807FAE">
      <w:pPr>
        <w:rPr>
          <w:rFonts w:eastAsiaTheme="minorEastAsia"/>
        </w:rPr>
      </w:pPr>
      <m:oMathPara>
        <m:oMath>
          <m:r>
            <w:rPr>
              <w:rFonts w:ascii="Cambria Math" w:hAnsi="Cambria Math"/>
            </w:rPr>
            <m:t>G=</m:t>
          </m:r>
          <m:f>
            <m:fPr>
              <m:ctrlPr>
                <w:rPr>
                  <w:rFonts w:ascii="Cambria Math" w:hAnsi="Cambria Math"/>
                  <w:i/>
                </w:rPr>
              </m:ctrlPr>
            </m:fPr>
            <m:num>
              <m:r>
                <w:rPr>
                  <w:rFonts w:ascii="Cambria Math" w:hAnsi="Cambria Math"/>
                </w:rPr>
                <m:t>E</m:t>
              </m:r>
            </m:num>
            <m:den>
              <m:r>
                <w:rPr>
                  <w:rFonts w:ascii="Cambria Math" w:hAnsi="Cambria Math"/>
                </w:rPr>
                <m:t>2</m:t>
              </m:r>
              <m:d>
                <m:dPr>
                  <m:ctrlPr>
                    <w:rPr>
                      <w:rFonts w:ascii="Cambria Math" w:hAnsi="Cambria Math"/>
                      <w:i/>
                    </w:rPr>
                  </m:ctrlPr>
                </m:dPr>
                <m:e>
                  <m:r>
                    <w:rPr>
                      <w:rFonts w:ascii="Cambria Math" w:hAnsi="Cambria Math"/>
                    </w:rPr>
                    <m:t>1+ν</m:t>
                  </m:r>
                </m:e>
              </m:d>
            </m:den>
          </m:f>
        </m:oMath>
      </m:oMathPara>
    </w:p>
    <w:p w:rsidR="00862E11" w:rsidRDefault="00862E11" w:rsidP="00807FAE">
      <w:pPr>
        <w:rPr>
          <w:rFonts w:eastAsiaTheme="minorEastAsia"/>
        </w:rPr>
      </w:pPr>
      <w:r w:rsidRPr="00862E11">
        <w:rPr>
          <w:rFonts w:ascii="Symbol" w:eastAsiaTheme="minorEastAsia" w:hAnsi="Symbol"/>
        </w:rPr>
        <w:t></w:t>
      </w:r>
      <w:r>
        <w:rPr>
          <w:rFonts w:eastAsiaTheme="minorEastAsia"/>
        </w:rPr>
        <w:t xml:space="preserve"> is Poisson’s ratio, </w:t>
      </w:r>
      <w:r w:rsidRPr="00862E11">
        <w:rPr>
          <w:rFonts w:ascii="Symbol" w:eastAsiaTheme="minorEastAsia" w:hAnsi="Symbol"/>
        </w:rPr>
        <w:t></w:t>
      </w:r>
      <w:r>
        <w:rPr>
          <w:rFonts w:eastAsiaTheme="minorEastAsia"/>
        </w:rPr>
        <w:t xml:space="preserve"> is the density, </w:t>
      </w:r>
      <w:proofErr w:type="spellStart"/>
      <w:r w:rsidRPr="00862E11">
        <w:rPr>
          <w:rFonts w:ascii="Times New Roman" w:eastAsiaTheme="minorEastAsia" w:hAnsi="Times New Roman" w:cs="Times New Roman"/>
        </w:rPr>
        <w:t>I</w:t>
      </w:r>
      <w:r w:rsidRPr="00862E11">
        <w:rPr>
          <w:rFonts w:eastAsiaTheme="minorEastAsia"/>
          <w:vertAlign w:val="subscript"/>
        </w:rPr>
        <w:t>p</w:t>
      </w:r>
      <w:proofErr w:type="spellEnd"/>
      <w:r>
        <w:rPr>
          <w:rFonts w:eastAsiaTheme="minorEastAsia"/>
        </w:rPr>
        <w:t xml:space="preserve"> is the polar area moment of inertia of the cross-section about the axis of torsion (=</w:t>
      </w:r>
      <w:r>
        <w:t>2.70 x 10</w:t>
      </w:r>
      <w:r>
        <w:rPr>
          <w:vertAlign w:val="superscript"/>
        </w:rPr>
        <w:t>-4</w:t>
      </w:r>
      <w:r>
        <w:t xml:space="preserve"> m</w:t>
      </w:r>
      <w:r w:rsidRPr="00484799">
        <w:rPr>
          <w:vertAlign w:val="superscript"/>
        </w:rPr>
        <w:t>4</w:t>
      </w:r>
      <w:r>
        <w:rPr>
          <w:rFonts w:eastAsiaTheme="minorEastAsia"/>
        </w:rPr>
        <w:t xml:space="preserve"> from a previous section)</w:t>
      </w:r>
      <w:r w:rsidR="00761096">
        <w:rPr>
          <w:rFonts w:eastAsiaTheme="minorEastAsia"/>
        </w:rPr>
        <w:t>, C is the torsional constant of the cross-section (Table 8-18) and J is the mass moment of inertia about the axis of rotation</w:t>
      </w:r>
      <w:r w:rsidR="00EB0FD7">
        <w:rPr>
          <w:rFonts w:eastAsiaTheme="minorEastAsia"/>
        </w:rPr>
        <w:t xml:space="preserve"> of the inertial mass at the end of the shaft.</w:t>
      </w:r>
    </w:p>
    <w:p w:rsidR="00735D07" w:rsidRDefault="00735D07" w:rsidP="00807FAE">
      <w:pPr>
        <w:rPr>
          <w:rFonts w:eastAsiaTheme="minorEastAsia"/>
        </w:rPr>
      </w:pPr>
      <w:r>
        <w:rPr>
          <w:rFonts w:eastAsiaTheme="minorEastAsia"/>
        </w:rPr>
        <w:t>The torsional constant, C, should have a value between that of a thin-walled closed section (triangle) and a thin-walled open section (triangle interrupted by holes in the sides). For the closed section (Blevins, Table 8-18, case 12):</w:t>
      </w:r>
    </w:p>
    <w:p w:rsidR="00735D07" w:rsidRPr="00F23334" w:rsidRDefault="00AD3280" w:rsidP="00807FAE">
      <w:pPr>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t</m:t>
              </m:r>
            </m:num>
            <m:den>
              <m:r>
                <w:rPr>
                  <w:rFonts w:ascii="Cambria Math" w:hAnsi="Cambria Math"/>
                </w:rPr>
                <m:t>S</m:t>
              </m:r>
            </m:den>
          </m:f>
        </m:oMath>
      </m:oMathPara>
    </w:p>
    <w:p w:rsidR="00F23334" w:rsidRDefault="00F23334" w:rsidP="00807FAE">
      <w:pPr>
        <w:rPr>
          <w:rFonts w:eastAsiaTheme="minorEastAsia"/>
        </w:rPr>
      </w:pPr>
      <w:r>
        <w:rPr>
          <w:rFonts w:eastAsiaTheme="minorEastAsia"/>
        </w:rPr>
        <w:t xml:space="preserve">Where A is the area enclosed by the </w:t>
      </w:r>
      <w:proofErr w:type="spellStart"/>
      <w:r>
        <w:rPr>
          <w:rFonts w:eastAsiaTheme="minorEastAsia"/>
        </w:rPr>
        <w:t>midwall</w:t>
      </w:r>
      <w:proofErr w:type="spellEnd"/>
      <w:r>
        <w:rPr>
          <w:rFonts w:eastAsiaTheme="minorEastAsia"/>
        </w:rPr>
        <w:t xml:space="preserve"> perimeter of the section (</w:t>
      </w:r>
      <w:r w:rsidR="007A22F8">
        <w:rPr>
          <w:rFonts w:eastAsiaTheme="minorEastAsia"/>
        </w:rPr>
        <w:t>0.21</w:t>
      </w:r>
      <w:r w:rsidR="007305E4" w:rsidRPr="00B14F53">
        <w:t xml:space="preserve"> </w:t>
      </w:r>
      <w:r>
        <w:rPr>
          <w:rFonts w:eastAsiaTheme="minorEastAsia"/>
        </w:rPr>
        <w:t>m</w:t>
      </w:r>
      <w:r w:rsidRPr="00F23334">
        <w:rPr>
          <w:rFonts w:eastAsiaTheme="minorEastAsia"/>
          <w:vertAlign w:val="superscript"/>
        </w:rPr>
        <w:t>2</w:t>
      </w:r>
      <w:r>
        <w:rPr>
          <w:rFonts w:eastAsiaTheme="minorEastAsia"/>
        </w:rPr>
        <w:t xml:space="preserve">), t is the wall thickness (1.9 mm) and S is the length of the </w:t>
      </w:r>
      <w:proofErr w:type="spellStart"/>
      <w:r>
        <w:rPr>
          <w:rFonts w:eastAsiaTheme="minorEastAsia"/>
        </w:rPr>
        <w:t>midwall</w:t>
      </w:r>
      <w:proofErr w:type="spellEnd"/>
      <w:r>
        <w:rPr>
          <w:rFonts w:eastAsiaTheme="minorEastAsia"/>
        </w:rPr>
        <w:t xml:space="preserve"> perimeter (</w:t>
      </w:r>
      <w:r w:rsidR="008C20B8">
        <w:rPr>
          <w:rFonts w:eastAsiaTheme="minorEastAsia"/>
        </w:rPr>
        <w:t>2.1</w:t>
      </w:r>
      <w:r>
        <w:rPr>
          <w:rFonts w:eastAsiaTheme="minorEastAsia"/>
        </w:rPr>
        <w:t xml:space="preserve"> </w:t>
      </w:r>
      <w:r w:rsidR="00EB0FD7">
        <w:rPr>
          <w:rFonts w:eastAsiaTheme="minorEastAsia"/>
        </w:rPr>
        <w:t>m</w:t>
      </w:r>
      <w:r>
        <w:rPr>
          <w:rFonts w:eastAsiaTheme="minorEastAsia"/>
        </w:rPr>
        <w:t xml:space="preserve">), so </w:t>
      </w:r>
      <w:r w:rsidR="008C20B8">
        <w:rPr>
          <w:rFonts w:eastAsiaTheme="minorEastAsia"/>
        </w:rPr>
        <w:t>C</w:t>
      </w:r>
      <w:r w:rsidR="009551C9">
        <w:rPr>
          <w:rFonts w:eastAsiaTheme="minorEastAsia"/>
          <w:vertAlign w:val="subscript"/>
        </w:rPr>
        <w:t>1</w:t>
      </w:r>
      <w:r w:rsidR="008C20B8">
        <w:rPr>
          <w:rFonts w:eastAsiaTheme="minorEastAsia"/>
        </w:rPr>
        <w:t xml:space="preserve"> = 156</w:t>
      </w:r>
      <w:r>
        <w:rPr>
          <w:rFonts w:eastAsiaTheme="minorEastAsia"/>
        </w:rPr>
        <w:t xml:space="preserve"> m</w:t>
      </w:r>
      <w:r w:rsidR="00362232">
        <w:rPr>
          <w:rFonts w:eastAsiaTheme="minorEastAsia"/>
          <w:vertAlign w:val="superscript"/>
        </w:rPr>
        <w:t>4</w:t>
      </w:r>
    </w:p>
    <w:p w:rsidR="00F23334" w:rsidRDefault="00F23334" w:rsidP="00807FAE">
      <w:pPr>
        <w:rPr>
          <w:rFonts w:eastAsiaTheme="minorEastAsia"/>
        </w:rPr>
      </w:pPr>
      <w:r>
        <w:rPr>
          <w:rFonts w:eastAsiaTheme="minorEastAsia"/>
        </w:rPr>
        <w:t>For the open section (Blevins, Table 8-18, case 11):</w:t>
      </w:r>
    </w:p>
    <w:p w:rsidR="00F23334" w:rsidRPr="00362232" w:rsidRDefault="00AD3280" w:rsidP="00807FAE">
      <w:pPr>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S</m:t>
              </m:r>
              <m:sSup>
                <m:sSupPr>
                  <m:ctrlPr>
                    <w:rPr>
                      <w:rFonts w:ascii="Cambria Math" w:hAnsi="Cambria Math"/>
                      <w:i/>
                    </w:rPr>
                  </m:ctrlPr>
                </m:sSupPr>
                <m:e>
                  <m:r>
                    <w:rPr>
                      <w:rFonts w:ascii="Cambria Math" w:hAnsi="Cambria Math"/>
                    </w:rPr>
                    <m:t>t</m:t>
                  </m:r>
                </m:e>
                <m:sup>
                  <m:r>
                    <w:rPr>
                      <w:rFonts w:ascii="Cambria Math" w:hAnsi="Cambria Math"/>
                    </w:rPr>
                    <m:t>3</m:t>
                  </m:r>
                </m:sup>
              </m:sSup>
            </m:num>
            <m:den>
              <m:r>
                <w:rPr>
                  <w:rFonts w:ascii="Cambria Math" w:hAnsi="Cambria Math"/>
                </w:rPr>
                <m:t>3</m:t>
              </m:r>
            </m:den>
          </m:f>
        </m:oMath>
      </m:oMathPara>
    </w:p>
    <w:p w:rsidR="009551C9" w:rsidRDefault="00E357E0" w:rsidP="00807FAE">
      <w:proofErr w:type="gramStart"/>
      <w:r>
        <w:rPr>
          <w:rFonts w:eastAsiaTheme="minorEastAsia"/>
        </w:rPr>
        <w:t>where</w:t>
      </w:r>
      <w:proofErr w:type="gramEnd"/>
      <w:r>
        <w:rPr>
          <w:rFonts w:eastAsiaTheme="minorEastAsia"/>
        </w:rPr>
        <w:t xml:space="preserve"> </w:t>
      </w:r>
      <w:r w:rsidR="00C274D5">
        <w:rPr>
          <w:rFonts w:eastAsiaTheme="minorEastAsia"/>
        </w:rPr>
        <w:t>S = 0.99</w:t>
      </w:r>
      <w:r>
        <w:rPr>
          <w:rFonts w:eastAsiaTheme="minorEastAsia"/>
        </w:rPr>
        <w:t xml:space="preserve"> m and </w:t>
      </w:r>
      <w:r w:rsidR="00362232">
        <w:rPr>
          <w:rFonts w:eastAsiaTheme="minorEastAsia"/>
        </w:rPr>
        <w:t>so C</w:t>
      </w:r>
      <w:r w:rsidR="009551C9">
        <w:rPr>
          <w:rFonts w:eastAsiaTheme="minorEastAsia"/>
          <w:vertAlign w:val="subscript"/>
        </w:rPr>
        <w:t>2</w:t>
      </w:r>
      <w:r w:rsidR="00362232">
        <w:rPr>
          <w:rFonts w:eastAsiaTheme="minorEastAsia"/>
        </w:rPr>
        <w:t xml:space="preserve"> = </w:t>
      </w:r>
      <w:r w:rsidR="008D5265">
        <w:rPr>
          <w:rFonts w:eastAsiaTheme="minorEastAsia"/>
        </w:rPr>
        <w:t>2.</w:t>
      </w:r>
      <w:r w:rsidR="008D5265">
        <w:t>26 x 10</w:t>
      </w:r>
      <w:r w:rsidR="008D5265">
        <w:rPr>
          <w:vertAlign w:val="superscript"/>
        </w:rPr>
        <w:t>-3</w:t>
      </w:r>
      <w:r w:rsidR="008D5265" w:rsidRPr="00B14F53">
        <w:t xml:space="preserve"> </w:t>
      </w:r>
      <w:r w:rsidR="00362232">
        <w:rPr>
          <w:rFonts w:eastAsiaTheme="minorEastAsia"/>
        </w:rPr>
        <w:t xml:space="preserve"> m</w:t>
      </w:r>
      <w:r w:rsidR="008D5265">
        <w:rPr>
          <w:rFonts w:eastAsiaTheme="minorEastAsia"/>
          <w:vertAlign w:val="superscript"/>
        </w:rPr>
        <w:t>4</w:t>
      </w:r>
      <w:r w:rsidR="009551C9">
        <w:t>. The ratio between the closed and open sections is ~10</w:t>
      </w:r>
      <w:r w:rsidR="009551C9" w:rsidRPr="009551C9">
        <w:rPr>
          <w:vertAlign w:val="superscript"/>
        </w:rPr>
        <w:t>5</w:t>
      </w:r>
      <w:r w:rsidR="009551C9">
        <w:t xml:space="preserve"> – an extremely large variation. As a consequence, it may be most accurate to use the open section C (i.e. </w:t>
      </w:r>
      <w:r w:rsidR="009551C9">
        <w:rPr>
          <w:rFonts w:eastAsiaTheme="minorEastAsia"/>
        </w:rPr>
        <w:t>C</w:t>
      </w:r>
      <w:r w:rsidR="009551C9">
        <w:rPr>
          <w:rFonts w:eastAsiaTheme="minorEastAsia"/>
          <w:vertAlign w:val="subscript"/>
        </w:rPr>
        <w:t>2</w:t>
      </w:r>
      <w:r w:rsidR="009551C9">
        <w:t xml:space="preserve">) but with a shaft length of just the portions of the shaft with cutouts, or L = </w:t>
      </w:r>
      <w:r w:rsidR="00AF378A">
        <w:t>1.017 m.</w:t>
      </w:r>
    </w:p>
    <w:p w:rsidR="00AF378A" w:rsidRDefault="00A07546" w:rsidP="00807FAE">
      <w:r>
        <w:rPr>
          <w:noProof/>
        </w:rPr>
        <w:lastRenderedPageBreak/>
        <w:drawing>
          <wp:inline distT="0" distB="0" distL="0" distR="0" wp14:anchorId="6E98583B" wp14:editId="2326B955">
            <wp:extent cx="2712720" cy="407130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714206" cy="4073537"/>
                    </a:xfrm>
                    <a:prstGeom prst="rect">
                      <a:avLst/>
                    </a:prstGeom>
                  </pic:spPr>
                </pic:pic>
              </a:graphicData>
            </a:graphic>
          </wp:inline>
        </w:drawing>
      </w:r>
    </w:p>
    <w:p w:rsidR="00F23334" w:rsidRDefault="00EB0FD7" w:rsidP="00807FAE">
      <w:r>
        <w:t xml:space="preserve">For the mass moment of inertia, J, I’ll “cheat” and use the </w:t>
      </w:r>
      <w:proofErr w:type="spellStart"/>
      <w:r>
        <w:t>SolidWorks</w:t>
      </w:r>
      <w:proofErr w:type="spellEnd"/>
      <w:r>
        <w:t xml:space="preserve"> value, rather than give a formula based on a geometric approximation. Note that this value of J is for the stiffening ring at the top of the pylon in the finite element model, and not for the “beam” cross-section below. Moreover, in reality it will likely be dominated by the moment of inertia of the payload mass on the top of the pylon. According to the </w:t>
      </w:r>
      <w:proofErr w:type="spellStart"/>
      <w:r>
        <w:t>SolidWorks</w:t>
      </w:r>
      <w:proofErr w:type="spellEnd"/>
      <w:r>
        <w:t xml:space="preserve"> model, J = 2.44 kg m</w:t>
      </w:r>
      <w:r>
        <w:rPr>
          <w:rFonts w:eastAsiaTheme="minorEastAsia"/>
          <w:vertAlign w:val="superscript"/>
        </w:rPr>
        <w:t>2</w:t>
      </w:r>
    </w:p>
    <w:p w:rsidR="00EB0FD7" w:rsidRDefault="003D2E5E" w:rsidP="00807FAE">
      <w:r>
        <w:t>The resulting calculation of the first torsional frequency is then f</w:t>
      </w:r>
      <w:r w:rsidRPr="003D2E5E">
        <w:rPr>
          <w:vertAlign w:val="subscript"/>
        </w:rPr>
        <w:t>1</w:t>
      </w:r>
      <w:r>
        <w:t xml:space="preserve"> = 1925 Hz.</w:t>
      </w:r>
      <w:r w:rsidR="00807FAE">
        <w:t xml:space="preserve"> While this is very likely an overestimate, it indicates that (for the model and assumptions made) the torsional mode is quite high in frequency. The FEA analysis shows no torsional mode within the first 20 modes (to 93 Hz).</w:t>
      </w:r>
    </w:p>
    <w:p w:rsidR="00CA350B" w:rsidRDefault="00807FAE" w:rsidP="00807FAE">
      <w:pPr>
        <w:pStyle w:val="Heading1"/>
      </w:pPr>
      <w:r>
        <w:t>First Plate Bending Mode</w:t>
      </w:r>
    </w:p>
    <w:p w:rsidR="00807FAE" w:rsidRDefault="00172F22" w:rsidP="001A7E58">
      <w:r>
        <w:t>The first vibration frequency of a simple isotropic rectangular plate</w:t>
      </w:r>
      <w:r>
        <w:rPr>
          <w:rStyle w:val="FootnoteReference"/>
        </w:rPr>
        <w:footnoteReference w:id="2"/>
      </w:r>
      <w:r w:rsidRPr="00172F22">
        <w:rPr>
          <w:vertAlign w:val="superscript"/>
        </w:rPr>
        <w:t>,</w:t>
      </w:r>
      <w:r>
        <w:rPr>
          <w:rStyle w:val="FootnoteReference"/>
        </w:rPr>
        <w:footnoteReference w:id="3"/>
      </w:r>
      <w:proofErr w:type="gramStart"/>
      <w:r w:rsidRPr="00172F22">
        <w:rPr>
          <w:vertAlign w:val="superscript"/>
        </w:rPr>
        <w:t>,</w:t>
      </w:r>
      <w:proofErr w:type="gramEnd"/>
      <w:r>
        <w:rPr>
          <w:rStyle w:val="FootnoteReference"/>
        </w:rPr>
        <w:footnoteReference w:id="4"/>
      </w:r>
      <w:r>
        <w:t xml:space="preserve"> is:</w:t>
      </w:r>
    </w:p>
    <w:p w:rsidR="00172F22" w:rsidRPr="009A25A9" w:rsidRDefault="00172F22" w:rsidP="001A7E58">
      <w:pPr>
        <w:rPr>
          <w:rFonts w:eastAsiaTheme="minorEastAsia"/>
        </w:rPr>
      </w:pPr>
      <m:oMathPara>
        <m:oMath>
          <m:r>
            <w:rPr>
              <w:rFonts w:ascii="Cambria Math" w:hAnsi="Cambria Math"/>
            </w:rPr>
            <m:t>f=</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11</m:t>
                  </m:r>
                </m:sub>
              </m:sSub>
            </m:num>
            <m:den>
              <m:r>
                <w:rPr>
                  <w:rFonts w:ascii="Cambria Math" w:hAnsi="Cambria Math"/>
                </w:rPr>
                <m:t>2π</m:t>
              </m:r>
              <m:sSubSup>
                <m:sSubSupPr>
                  <m:ctrlPr>
                    <w:rPr>
                      <w:rFonts w:ascii="Cambria Math" w:hAnsi="Cambria Math"/>
                      <w:i/>
                    </w:rPr>
                  </m:ctrlPr>
                </m:sSubSupPr>
                <m:e>
                  <m:r>
                    <w:rPr>
                      <w:rFonts w:ascii="Cambria Math" w:hAnsi="Cambria Math"/>
                    </w:rPr>
                    <m:t>L</m:t>
                  </m:r>
                </m:e>
                <m:sub>
                  <m:r>
                    <w:rPr>
                      <w:rFonts w:ascii="Cambria Math" w:hAnsi="Cambria Math"/>
                    </w:rPr>
                    <m:t>y</m:t>
                  </m:r>
                </m:sub>
                <m:sup>
                  <m:r>
                    <w:rPr>
                      <w:rFonts w:ascii="Cambria Math" w:hAnsi="Cambria Math"/>
                    </w:rPr>
                    <m:t>2</m:t>
                  </m:r>
                </m:sup>
              </m:sSubSup>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D</m:t>
                  </m:r>
                </m:num>
                <m:den>
                  <m:r>
                    <w:rPr>
                      <w:rFonts w:ascii="Cambria Math" w:hAnsi="Cambria Math"/>
                    </w:rPr>
                    <m:t>ρ</m:t>
                  </m:r>
                </m:den>
              </m:f>
            </m:e>
          </m:rad>
        </m:oMath>
      </m:oMathPara>
    </w:p>
    <w:p w:rsidR="009A25A9" w:rsidRDefault="005D5C50" w:rsidP="005D5C50">
      <w:pPr>
        <w:rPr>
          <w:rFonts w:eastAsiaTheme="minorEastAsia"/>
        </w:rPr>
      </w:pPr>
      <w:r>
        <w:rPr>
          <w:rFonts w:eastAsiaTheme="minorEastAsia"/>
        </w:rPr>
        <w:lastRenderedPageBreak/>
        <w:t xml:space="preserve">where </w:t>
      </w:r>
      <w:r w:rsidRPr="005D5C50">
        <w:rPr>
          <w:rFonts w:eastAsiaTheme="minorEastAsia"/>
        </w:rPr>
        <w:t>f is the frequency in Hz, the plate dimensions are L by L</w:t>
      </w:r>
      <w:r w:rsidRPr="005D5C50">
        <w:rPr>
          <w:rFonts w:eastAsiaTheme="minorEastAsia"/>
          <w:vertAlign w:val="subscript"/>
        </w:rPr>
        <w:t>y</w:t>
      </w:r>
      <w:r w:rsidRPr="005D5C50">
        <w:rPr>
          <w:rFonts w:eastAsiaTheme="minorEastAsia"/>
        </w:rPr>
        <w:t xml:space="preserve"> with a thickness of h, </w:t>
      </w:r>
      <w:r w:rsidRPr="005D5C50">
        <w:rPr>
          <w:rFonts w:ascii="Symbol" w:eastAsiaTheme="minorEastAsia" w:hAnsi="Symbol"/>
        </w:rPr>
        <w:t></w:t>
      </w:r>
      <w:r w:rsidRPr="005D5C50">
        <w:rPr>
          <w:rFonts w:eastAsiaTheme="minorEastAsia"/>
        </w:rPr>
        <w:t xml:space="preserve"> is the</w:t>
      </w:r>
      <w:r>
        <w:rPr>
          <w:rFonts w:eastAsiaTheme="minorEastAsia"/>
        </w:rPr>
        <w:t xml:space="preserve"> </w:t>
      </w:r>
      <w:r w:rsidRPr="005D5C50">
        <w:rPr>
          <w:rFonts w:eastAsiaTheme="minorEastAsia"/>
        </w:rPr>
        <w:t>material plate areal density, k</w:t>
      </w:r>
      <w:r w:rsidRPr="005D5C50">
        <w:rPr>
          <w:rFonts w:eastAsiaTheme="minorEastAsia"/>
          <w:vertAlign w:val="subscript"/>
        </w:rPr>
        <w:t>11</w:t>
      </w:r>
      <w:r w:rsidRPr="005D5C50">
        <w:rPr>
          <w:rFonts w:eastAsiaTheme="minorEastAsia"/>
        </w:rPr>
        <w:t xml:space="preserve"> is the coefficient of the first mode and D = Eh</w:t>
      </w:r>
      <w:r w:rsidRPr="005D5C50">
        <w:rPr>
          <w:rFonts w:eastAsiaTheme="minorEastAsia"/>
          <w:vertAlign w:val="superscript"/>
        </w:rPr>
        <w:t>3</w:t>
      </w:r>
      <w:r w:rsidRPr="005D5C50">
        <w:rPr>
          <w:rFonts w:eastAsiaTheme="minorEastAsia"/>
        </w:rPr>
        <w:t xml:space="preserve"> /12(1-</w:t>
      </w:r>
      <w:r w:rsidRPr="005D5C50">
        <w:rPr>
          <w:rFonts w:ascii="Symbol" w:eastAsiaTheme="minorEastAsia" w:hAnsi="Symbol"/>
        </w:rPr>
        <w:t></w:t>
      </w:r>
      <w:r w:rsidRPr="005D5C50">
        <w:rPr>
          <w:rFonts w:eastAsiaTheme="minorEastAsia"/>
          <w:vertAlign w:val="superscript"/>
        </w:rPr>
        <w:t>2</w:t>
      </w:r>
      <w:r w:rsidRPr="005D5C50">
        <w:rPr>
          <w:rFonts w:eastAsiaTheme="minorEastAsia"/>
        </w:rPr>
        <w:t>) is the</w:t>
      </w:r>
      <w:r>
        <w:rPr>
          <w:rFonts w:eastAsiaTheme="minorEastAsia"/>
        </w:rPr>
        <w:t xml:space="preserve"> </w:t>
      </w:r>
      <w:r w:rsidRPr="005D5C50">
        <w:rPr>
          <w:rFonts w:eastAsiaTheme="minorEastAsia"/>
        </w:rPr>
        <w:t>bending stiffness of the plate. The value of the coefficient, k</w:t>
      </w:r>
      <w:r w:rsidRPr="005D5C50">
        <w:rPr>
          <w:rFonts w:eastAsiaTheme="minorEastAsia"/>
          <w:vertAlign w:val="subscript"/>
        </w:rPr>
        <w:t>11</w:t>
      </w:r>
      <w:r w:rsidRPr="005D5C50">
        <w:rPr>
          <w:rFonts w:eastAsiaTheme="minorEastAsia"/>
        </w:rPr>
        <w:t>, depends upon the boundary</w:t>
      </w:r>
      <w:r>
        <w:rPr>
          <w:rFonts w:eastAsiaTheme="minorEastAsia"/>
        </w:rPr>
        <w:t xml:space="preserve"> </w:t>
      </w:r>
      <w:r w:rsidRPr="005D5C50">
        <w:rPr>
          <w:rFonts w:eastAsiaTheme="minorEastAsia"/>
        </w:rPr>
        <w:t>conditions of the plate, as indicated in the following Table.</w:t>
      </w:r>
    </w:p>
    <w:tbl>
      <w:tblPr>
        <w:tblStyle w:val="TableGrid"/>
        <w:tblW w:w="0" w:type="auto"/>
        <w:tblLook w:val="04A0" w:firstRow="1" w:lastRow="0" w:firstColumn="1" w:lastColumn="0" w:noHBand="0" w:noVBand="1"/>
      </w:tblPr>
      <w:tblGrid>
        <w:gridCol w:w="3912"/>
        <w:gridCol w:w="5664"/>
      </w:tblGrid>
      <w:tr w:rsidR="008A0693" w:rsidTr="00270355">
        <w:tc>
          <w:tcPr>
            <w:tcW w:w="9576" w:type="dxa"/>
            <w:gridSpan w:val="2"/>
          </w:tcPr>
          <w:p w:rsidR="008A0693" w:rsidRPr="005D5C50" w:rsidRDefault="00DC6AF7" w:rsidP="005D5C50">
            <w:pPr>
              <w:jc w:val="center"/>
              <w:rPr>
                <w:b/>
              </w:rPr>
            </w:pPr>
            <w:r>
              <w:rPr>
                <w:noProof/>
              </w:rPr>
              <w:drawing>
                <wp:inline distT="0" distB="0" distL="0" distR="0" wp14:anchorId="7E44D990" wp14:editId="325B537D">
                  <wp:extent cx="3848100" cy="1341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48100" cy="1341120"/>
                          </a:xfrm>
                          <a:prstGeom prst="rect">
                            <a:avLst/>
                          </a:prstGeom>
                        </pic:spPr>
                      </pic:pic>
                    </a:graphicData>
                  </a:graphic>
                </wp:inline>
              </w:drawing>
            </w:r>
          </w:p>
        </w:tc>
      </w:tr>
      <w:tr w:rsidR="005D5C50" w:rsidTr="00080788">
        <w:tc>
          <w:tcPr>
            <w:tcW w:w="3912" w:type="dxa"/>
          </w:tcPr>
          <w:p w:rsidR="005D5C50" w:rsidRPr="005D5C50" w:rsidRDefault="005D5C50" w:rsidP="005D5C50">
            <w:pPr>
              <w:autoSpaceDE w:val="0"/>
              <w:autoSpaceDN w:val="0"/>
              <w:adjustRightInd w:val="0"/>
              <w:jc w:val="center"/>
              <w:rPr>
                <w:rFonts w:ascii="Times New Roman" w:hAnsi="Times New Roman" w:cs="Times New Roman"/>
                <w:b/>
                <w:sz w:val="24"/>
                <w:szCs w:val="24"/>
              </w:rPr>
            </w:pPr>
            <w:r w:rsidRPr="005D5C50">
              <w:rPr>
                <w:rFonts w:ascii="Times New Roman" w:hAnsi="Times New Roman" w:cs="Times New Roman"/>
                <w:b/>
                <w:sz w:val="24"/>
                <w:szCs w:val="24"/>
              </w:rPr>
              <w:t>Boundary Condition (BC)</w:t>
            </w:r>
          </w:p>
        </w:tc>
        <w:tc>
          <w:tcPr>
            <w:tcW w:w="5664" w:type="dxa"/>
          </w:tcPr>
          <w:p w:rsidR="005D5C50" w:rsidRPr="005D5C50" w:rsidRDefault="005D5C50" w:rsidP="005D5C50">
            <w:pPr>
              <w:jc w:val="center"/>
              <w:rPr>
                <w:b/>
              </w:rPr>
            </w:pPr>
            <w:r w:rsidRPr="005D5C50">
              <w:rPr>
                <w:b/>
              </w:rPr>
              <w:t>Coefficient, k</w:t>
            </w:r>
            <w:r w:rsidRPr="005D5C50">
              <w:rPr>
                <w:b/>
                <w:vertAlign w:val="subscript"/>
              </w:rPr>
              <w:t>11</w:t>
            </w:r>
          </w:p>
        </w:tc>
      </w:tr>
      <w:tr w:rsidR="005D5C50" w:rsidTr="00080788">
        <w:tc>
          <w:tcPr>
            <w:tcW w:w="3912" w:type="dxa"/>
          </w:tcPr>
          <w:p w:rsidR="005D5C50" w:rsidRPr="005D5C50" w:rsidRDefault="005D5C50" w:rsidP="005D5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Free, Free (FF)</w:t>
            </w:r>
          </w:p>
        </w:tc>
        <w:tc>
          <w:tcPr>
            <w:tcW w:w="5664" w:type="dxa"/>
          </w:tcPr>
          <w:p w:rsidR="005D5C50" w:rsidRDefault="005D5C50" w:rsidP="005D5C50">
            <w:r>
              <w:t>9.87 (</w:t>
            </w:r>
            <w:r w:rsidRPr="005D5C50">
              <w:rPr>
                <w:rFonts w:ascii="Symbol" w:hAnsi="Symbol"/>
              </w:rPr>
              <w:t></w:t>
            </w:r>
            <w:r>
              <w:t xml:space="preserve"> = 0.3)</w:t>
            </w:r>
          </w:p>
        </w:tc>
      </w:tr>
      <w:tr w:rsidR="005D5C50" w:rsidTr="00080788">
        <w:tc>
          <w:tcPr>
            <w:tcW w:w="3912" w:type="dxa"/>
          </w:tcPr>
          <w:p w:rsidR="005D5C50" w:rsidRPr="005D5C50" w:rsidRDefault="005D5C50" w:rsidP="005D5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Simple, Free (SF)</w:t>
            </w:r>
          </w:p>
        </w:tc>
        <w:tc>
          <w:tcPr>
            <w:tcW w:w="5664" w:type="dxa"/>
          </w:tcPr>
          <w:tbl>
            <w:tblPr>
              <w:tblStyle w:val="TableGrid"/>
              <w:tblW w:w="0" w:type="auto"/>
              <w:tblLook w:val="04A0" w:firstRow="1" w:lastRow="0" w:firstColumn="1" w:lastColumn="0" w:noHBand="0" w:noVBand="1"/>
            </w:tblPr>
            <w:tblGrid>
              <w:gridCol w:w="458"/>
              <w:gridCol w:w="830"/>
              <w:gridCol w:w="830"/>
              <w:gridCol w:w="830"/>
              <w:gridCol w:w="830"/>
              <w:gridCol w:w="830"/>
              <w:gridCol w:w="830"/>
            </w:tblGrid>
            <w:tr w:rsidR="005D5C50" w:rsidTr="005D5C50">
              <w:tc>
                <w:tcPr>
                  <w:tcW w:w="651" w:type="dxa"/>
                </w:tcPr>
                <w:p w:rsidR="005D5C50" w:rsidRPr="005D5C50" w:rsidRDefault="005D5C50" w:rsidP="005D5C50">
                  <w:pPr>
                    <w:rPr>
                      <w:rFonts w:ascii="Symbol" w:hAnsi="Symbol"/>
                    </w:rPr>
                  </w:pPr>
                  <w:r w:rsidRPr="005D5C50">
                    <w:rPr>
                      <w:rFonts w:ascii="Symbol" w:hAnsi="Symbol"/>
                    </w:rPr>
                    <w:t></w:t>
                  </w:r>
                </w:p>
              </w:tc>
              <w:tc>
                <w:tcPr>
                  <w:tcW w:w="651" w:type="dxa"/>
                </w:tcPr>
                <w:p w:rsidR="005D5C50" w:rsidRDefault="005D5C50" w:rsidP="005D5C50">
                  <w:r>
                    <w:t>1</w:t>
                  </w:r>
                </w:p>
              </w:tc>
              <w:tc>
                <w:tcPr>
                  <w:tcW w:w="651" w:type="dxa"/>
                </w:tcPr>
                <w:p w:rsidR="005D5C50" w:rsidRDefault="005D5C50" w:rsidP="005D5C50">
                  <w:r>
                    <w:t>1.6</w:t>
                  </w:r>
                </w:p>
              </w:tc>
              <w:tc>
                <w:tcPr>
                  <w:tcW w:w="651" w:type="dxa"/>
                </w:tcPr>
                <w:p w:rsidR="005D5C50" w:rsidRDefault="005D5C50" w:rsidP="005D5C50">
                  <w:r>
                    <w:t>2</w:t>
                  </w:r>
                </w:p>
              </w:tc>
              <w:tc>
                <w:tcPr>
                  <w:tcW w:w="651" w:type="dxa"/>
                </w:tcPr>
                <w:p w:rsidR="005D5C50" w:rsidRDefault="005D5C50" w:rsidP="005D5C50">
                  <w:r>
                    <w:t>2.5</w:t>
                  </w:r>
                </w:p>
              </w:tc>
              <w:tc>
                <w:tcPr>
                  <w:tcW w:w="651" w:type="dxa"/>
                </w:tcPr>
                <w:p w:rsidR="005D5C50" w:rsidRDefault="005D5C50" w:rsidP="005D5C50">
                  <w:r>
                    <w:t>3</w:t>
                  </w:r>
                </w:p>
              </w:tc>
              <w:tc>
                <w:tcPr>
                  <w:tcW w:w="651" w:type="dxa"/>
                </w:tcPr>
                <w:p w:rsidR="005D5C50" w:rsidRDefault="005D5C50" w:rsidP="005D5C50">
                  <w:r>
                    <w:t>5</w:t>
                  </w:r>
                </w:p>
              </w:tc>
            </w:tr>
            <w:tr w:rsidR="005D5C50" w:rsidTr="005D5C50">
              <w:tc>
                <w:tcPr>
                  <w:tcW w:w="651" w:type="dxa"/>
                </w:tcPr>
                <w:p w:rsidR="005D5C50" w:rsidRDefault="005D5C50" w:rsidP="005D5C50">
                  <w:r>
                    <w:t>k</w:t>
                  </w:r>
                  <w:r w:rsidRPr="005D5C50">
                    <w:rPr>
                      <w:vertAlign w:val="subscript"/>
                    </w:rPr>
                    <w:t>11</w:t>
                  </w:r>
                </w:p>
              </w:tc>
              <w:tc>
                <w:tcPr>
                  <w:tcW w:w="651" w:type="dxa"/>
                </w:tcPr>
                <w:p w:rsidR="005D5C50" w:rsidRDefault="005D5C50" w:rsidP="005D5C50">
                  <w:r>
                    <w:t>11.843</w:t>
                  </w:r>
                </w:p>
              </w:tc>
              <w:tc>
                <w:tcPr>
                  <w:tcW w:w="651" w:type="dxa"/>
                </w:tcPr>
                <w:p w:rsidR="005D5C50" w:rsidRDefault="005D5C50" w:rsidP="005D5C50">
                  <w:r>
                    <w:t>14.409</w:t>
                  </w:r>
                </w:p>
              </w:tc>
              <w:tc>
                <w:tcPr>
                  <w:tcW w:w="651" w:type="dxa"/>
                </w:tcPr>
                <w:p w:rsidR="005D5C50" w:rsidRDefault="005D5C50" w:rsidP="005D5C50">
                  <w:r>
                    <w:t>16.481</w:t>
                  </w:r>
                </w:p>
              </w:tc>
              <w:tc>
                <w:tcPr>
                  <w:tcW w:w="651" w:type="dxa"/>
                </w:tcPr>
                <w:p w:rsidR="005D5C50" w:rsidRDefault="005D5C50" w:rsidP="005D5C50">
                  <w:r>
                    <w:t>19.244</w:t>
                  </w:r>
                </w:p>
              </w:tc>
              <w:tc>
                <w:tcPr>
                  <w:tcW w:w="651" w:type="dxa"/>
                </w:tcPr>
                <w:p w:rsidR="005D5C50" w:rsidRDefault="005D5C50" w:rsidP="005D5C50">
                  <w:r>
                    <w:t>22.205</w:t>
                  </w:r>
                </w:p>
              </w:tc>
              <w:tc>
                <w:tcPr>
                  <w:tcW w:w="651" w:type="dxa"/>
                </w:tcPr>
                <w:p w:rsidR="005D5C50" w:rsidRDefault="005D5C50" w:rsidP="005D5C50">
                  <w:r>
                    <w:t>35.133</w:t>
                  </w:r>
                </w:p>
              </w:tc>
            </w:tr>
          </w:tbl>
          <w:p w:rsidR="005D5C50" w:rsidRDefault="005D5C50" w:rsidP="005D5C50"/>
        </w:tc>
      </w:tr>
      <w:tr w:rsidR="005D5C50" w:rsidTr="00080788">
        <w:tc>
          <w:tcPr>
            <w:tcW w:w="3912" w:type="dxa"/>
          </w:tcPr>
          <w:p w:rsidR="005D5C50" w:rsidRPr="005D5C50" w:rsidRDefault="005D5C50" w:rsidP="005D5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Simple, Simple (SS)</w:t>
            </w:r>
          </w:p>
        </w:tc>
        <w:tc>
          <w:tcPr>
            <w:tcW w:w="5664" w:type="dxa"/>
          </w:tcPr>
          <w:p w:rsidR="005D5C50" w:rsidRDefault="00AD3280" w:rsidP="005D5C50">
            <m:oMathPara>
              <m:oMath>
                <m:sSup>
                  <m:sSupPr>
                    <m:ctrlPr>
                      <w:rPr>
                        <w:rFonts w:ascii="Cambria Math" w:hAnsi="Cambria Math"/>
                        <w:i/>
                      </w:rPr>
                    </m:ctrlPr>
                  </m:sSupPr>
                  <m:e>
                    <m:r>
                      <w:rPr>
                        <w:rFonts w:ascii="Cambria Math" w:hAnsi="Cambria Math"/>
                      </w:rPr>
                      <m:t>π</m:t>
                    </m:r>
                  </m:e>
                  <m:sup>
                    <m:r>
                      <w:rPr>
                        <w:rFonts w:ascii="Cambria Math" w:hAnsi="Cambria Math"/>
                      </w:rPr>
                      <m:t>2</m:t>
                    </m:r>
                  </m:sup>
                </m:sSup>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α</m:t>
                        </m:r>
                      </m:e>
                      <m:sup>
                        <m:r>
                          <w:rPr>
                            <w:rFonts w:ascii="Cambria Math" w:hAnsi="Cambria Math"/>
                          </w:rPr>
                          <m:t>2</m:t>
                        </m:r>
                      </m:sup>
                    </m:sSup>
                  </m:e>
                </m:d>
              </m:oMath>
            </m:oMathPara>
          </w:p>
        </w:tc>
      </w:tr>
      <w:tr w:rsidR="005D5C50" w:rsidTr="00080788">
        <w:tc>
          <w:tcPr>
            <w:tcW w:w="3912" w:type="dxa"/>
          </w:tcPr>
          <w:p w:rsidR="005D5C50" w:rsidRPr="005D5C50" w:rsidRDefault="005D5C50" w:rsidP="005D5C5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Clamped, Simple (CS)</w:t>
            </w:r>
          </w:p>
        </w:tc>
        <w:tc>
          <w:tcPr>
            <w:tcW w:w="5664" w:type="dxa"/>
          </w:tcPr>
          <w:p w:rsidR="005D5C50" w:rsidRDefault="00AD3280" w:rsidP="005D5C50">
            <m:oMathPara>
              <m:oMath>
                <m:sSup>
                  <m:sSupPr>
                    <m:ctrlPr>
                      <w:rPr>
                        <w:rFonts w:ascii="Cambria Math" w:hAnsi="Cambria Math"/>
                        <w:i/>
                      </w:rPr>
                    </m:ctrlPr>
                  </m:sSupPr>
                  <m:e>
                    <m:r>
                      <w:rPr>
                        <w:rFonts w:ascii="Cambria Math" w:hAnsi="Cambria Math"/>
                      </w:rPr>
                      <m:t>π</m:t>
                    </m:r>
                  </m:e>
                  <m:sup>
                    <m:r>
                      <w:rPr>
                        <w:rFonts w:ascii="Cambria Math" w:hAnsi="Cambria Math"/>
                      </w:rPr>
                      <m:t>2</m:t>
                    </m:r>
                  </m:sup>
                </m:sSup>
                <m:rad>
                  <m:radPr>
                    <m:degHide m:val="1"/>
                    <m:ctrlPr>
                      <w:rPr>
                        <w:rFonts w:ascii="Cambria Math" w:hAnsi="Cambria Math"/>
                        <w:i/>
                      </w:rPr>
                    </m:ctrlPr>
                  </m:radPr>
                  <m:deg/>
                  <m:e>
                    <m:r>
                      <w:rPr>
                        <w:rFonts w:ascii="Cambria Math" w:hAnsi="Cambria Math"/>
                      </w:rPr>
                      <m:t xml:space="preserve">1+2.33 </m:t>
                    </m:r>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 xml:space="preserve">+2.44 </m:t>
                    </m:r>
                    <m:sSup>
                      <m:sSupPr>
                        <m:ctrlPr>
                          <w:rPr>
                            <w:rFonts w:ascii="Cambria Math" w:hAnsi="Cambria Math"/>
                            <w:i/>
                          </w:rPr>
                        </m:ctrlPr>
                      </m:sSupPr>
                      <m:e>
                        <m:r>
                          <w:rPr>
                            <w:rFonts w:ascii="Cambria Math" w:hAnsi="Cambria Math"/>
                          </w:rPr>
                          <m:t>α</m:t>
                        </m:r>
                      </m:e>
                      <m:sup>
                        <m:r>
                          <w:rPr>
                            <w:rFonts w:ascii="Cambria Math" w:hAnsi="Cambria Math"/>
                          </w:rPr>
                          <m:t>4</m:t>
                        </m:r>
                      </m:sup>
                    </m:sSup>
                  </m:e>
                </m:rad>
              </m:oMath>
            </m:oMathPara>
          </w:p>
        </w:tc>
      </w:tr>
      <w:tr w:rsidR="00080788" w:rsidTr="00080788">
        <w:tc>
          <w:tcPr>
            <w:tcW w:w="3912" w:type="dxa"/>
          </w:tcPr>
          <w:p w:rsidR="00080788" w:rsidRDefault="00080788" w:rsidP="005D5C50">
            <w:r>
              <w:rPr>
                <w:rFonts w:ascii="Times New Roman" w:hAnsi="Times New Roman" w:cs="Times New Roman"/>
                <w:sz w:val="24"/>
                <w:szCs w:val="24"/>
              </w:rPr>
              <w:t>Clamped, Clamped (CC)</w:t>
            </w:r>
          </w:p>
        </w:tc>
        <w:tc>
          <w:tcPr>
            <w:tcW w:w="5664" w:type="dxa"/>
          </w:tcPr>
          <w:p w:rsidR="00080788" w:rsidRDefault="00AD3280" w:rsidP="00307311">
            <m:oMathPara>
              <m:oMath>
                <m:sSup>
                  <m:sSupPr>
                    <m:ctrlPr>
                      <w:rPr>
                        <w:rFonts w:ascii="Cambria Math" w:hAnsi="Cambria Math"/>
                        <w:i/>
                      </w:rPr>
                    </m:ctrlPr>
                  </m:sSupPr>
                  <m:e>
                    <m:r>
                      <w:rPr>
                        <w:rFonts w:ascii="Cambria Math" w:hAnsi="Cambria Math"/>
                      </w:rPr>
                      <m:t>π</m:t>
                    </m:r>
                  </m:e>
                  <m:sup>
                    <m:r>
                      <w:rPr>
                        <w:rFonts w:ascii="Cambria Math" w:hAnsi="Cambria Math"/>
                      </w:rPr>
                      <m:t>2</m:t>
                    </m:r>
                  </m:sup>
                </m:sSup>
                <m:rad>
                  <m:radPr>
                    <m:degHide m:val="1"/>
                    <m:ctrlPr>
                      <w:rPr>
                        <w:rFonts w:ascii="Cambria Math" w:hAnsi="Cambria Math"/>
                        <w:i/>
                      </w:rPr>
                    </m:ctrlPr>
                  </m:radPr>
                  <m:deg/>
                  <m:e>
                    <m:r>
                      <w:rPr>
                        <w:rFonts w:ascii="Cambria Math" w:hAnsi="Cambria Math"/>
                      </w:rPr>
                      <m:t xml:space="preserve">1+2.50 </m:t>
                    </m:r>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 xml:space="preserve">+5.14 </m:t>
                    </m:r>
                    <m:sSup>
                      <m:sSupPr>
                        <m:ctrlPr>
                          <w:rPr>
                            <w:rFonts w:ascii="Cambria Math" w:hAnsi="Cambria Math"/>
                            <w:i/>
                          </w:rPr>
                        </m:ctrlPr>
                      </m:sSupPr>
                      <m:e>
                        <m:r>
                          <w:rPr>
                            <w:rFonts w:ascii="Cambria Math" w:hAnsi="Cambria Math"/>
                          </w:rPr>
                          <m:t>α</m:t>
                        </m:r>
                      </m:e>
                      <m:sup>
                        <m:r>
                          <w:rPr>
                            <w:rFonts w:ascii="Cambria Math" w:hAnsi="Cambria Math"/>
                          </w:rPr>
                          <m:t>4</m:t>
                        </m:r>
                      </m:sup>
                    </m:sSup>
                  </m:e>
                </m:rad>
              </m:oMath>
            </m:oMathPara>
          </w:p>
        </w:tc>
      </w:tr>
    </w:tbl>
    <w:p w:rsidR="005D5C50" w:rsidRDefault="005D5C50" w:rsidP="005D5C50"/>
    <w:p w:rsidR="00A620AF" w:rsidRDefault="008F1A28" w:rsidP="005D5C50">
      <w:r>
        <w:t xml:space="preserve">The panels of the </w:t>
      </w:r>
      <w:proofErr w:type="spellStart"/>
      <w:r>
        <w:t>PCal</w:t>
      </w:r>
      <w:proofErr w:type="spellEnd"/>
      <w:r>
        <w:t xml:space="preserve"> pylon can be roughly approximated by rectangular panels which</w:t>
      </w:r>
      <w:r w:rsidR="00DB1CC3">
        <w:t xml:space="preserve"> have simple supports on 3 sides and 1 free edge with L = </w:t>
      </w:r>
      <w:r w:rsidR="003869BC">
        <w:t>0.24 m, Ly = 0.36</w:t>
      </w:r>
      <w:r w:rsidR="008065CB">
        <w:t xml:space="preserve"> m, </w:t>
      </w:r>
      <w:r w:rsidR="008065CB" w:rsidRPr="008065CB">
        <w:rPr>
          <w:rFonts w:ascii="Symbol" w:hAnsi="Symbol"/>
        </w:rPr>
        <w:t></w:t>
      </w:r>
      <w:r w:rsidR="003869BC">
        <w:t xml:space="preserve"> = 1.5</w:t>
      </w:r>
      <w:r w:rsidR="008065CB">
        <w:t xml:space="preserve">, </w:t>
      </w:r>
      <w:r w:rsidR="00A620AF">
        <w:t>as shown in the Figure below.</w:t>
      </w:r>
    </w:p>
    <w:p w:rsidR="00A620AF" w:rsidRDefault="00A620AF" w:rsidP="005D5C50">
      <w:r>
        <w:rPr>
          <w:noProof/>
        </w:rPr>
        <w:lastRenderedPageBreak/>
        <w:drawing>
          <wp:inline distT="0" distB="0" distL="0" distR="0" wp14:anchorId="69C4E3B5" wp14:editId="41607936">
            <wp:extent cx="4353126" cy="46126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ELS.JPG"/>
                    <pic:cNvPicPr/>
                  </pic:nvPicPr>
                  <pic:blipFill>
                    <a:blip r:embed="rId17">
                      <a:extLst>
                        <a:ext uri="{28A0092B-C50C-407E-A947-70E740481C1C}">
                          <a14:useLocalDpi xmlns:a14="http://schemas.microsoft.com/office/drawing/2010/main" val="0"/>
                        </a:ext>
                      </a:extLst>
                    </a:blip>
                    <a:stretch>
                      <a:fillRect/>
                    </a:stretch>
                  </pic:blipFill>
                  <pic:spPr>
                    <a:xfrm>
                      <a:off x="0" y="0"/>
                      <a:ext cx="4355761" cy="4615432"/>
                    </a:xfrm>
                    <a:prstGeom prst="rect">
                      <a:avLst/>
                    </a:prstGeom>
                  </pic:spPr>
                </pic:pic>
              </a:graphicData>
            </a:graphic>
          </wp:inline>
        </w:drawing>
      </w:r>
    </w:p>
    <w:p w:rsidR="00123142" w:rsidRDefault="00A620AF" w:rsidP="005D5C50">
      <w:r>
        <w:t>W</w:t>
      </w:r>
      <w:r w:rsidR="008065CB">
        <w:t>ith simple-f</w:t>
      </w:r>
      <w:r w:rsidR="007F3665">
        <w:t>ree boundary conditions (BC) then</w:t>
      </w:r>
      <w:r w:rsidR="008065CB">
        <w:t xml:space="preserve"> k</w:t>
      </w:r>
      <w:r w:rsidR="008065CB" w:rsidRPr="008065CB">
        <w:rPr>
          <w:vertAlign w:val="subscript"/>
        </w:rPr>
        <w:t>11</w:t>
      </w:r>
      <w:r w:rsidR="003869BC">
        <w:t xml:space="preserve"> = 14.1</w:t>
      </w:r>
      <w:r w:rsidR="002B79BF">
        <w:t xml:space="preserve">, D = 120 </w:t>
      </w:r>
      <w:r w:rsidR="007F3665">
        <w:t xml:space="preserve">Pa and f = </w:t>
      </w:r>
      <w:r w:rsidR="003869BC">
        <w:t xml:space="preserve">49 Hz. </w:t>
      </w:r>
    </w:p>
    <w:p w:rsidR="008F1A28" w:rsidRDefault="00123142" w:rsidP="005D5C50">
      <w:r>
        <w:t>The first four modes of the FEA calculation are panel modes with frequencies of 40 Hz, 47 Hz, 48 Hz and 48 Hz. I’m not sure why the first frequency is so much lower</w:t>
      </w:r>
      <w:r w:rsidR="00F46C2A">
        <w:t xml:space="preserve"> than the others (it shouldn’t be due to symmetry; could be the mesh is not refined enough)</w:t>
      </w:r>
      <w:r>
        <w:t>, but this is relatively good agreement with the approximate analytical calculation.</w:t>
      </w:r>
    </w:p>
    <w:tbl>
      <w:tblPr>
        <w:tblStyle w:val="TableGrid"/>
        <w:tblW w:w="0" w:type="auto"/>
        <w:tblLook w:val="04A0" w:firstRow="1" w:lastRow="0" w:firstColumn="1" w:lastColumn="0" w:noHBand="0" w:noVBand="1"/>
      </w:tblPr>
      <w:tblGrid>
        <w:gridCol w:w="4788"/>
        <w:gridCol w:w="4788"/>
      </w:tblGrid>
      <w:tr w:rsidR="00EC4EEF" w:rsidTr="00EC4EEF">
        <w:tc>
          <w:tcPr>
            <w:tcW w:w="4788" w:type="dxa"/>
          </w:tcPr>
          <w:p w:rsidR="00EC4EEF" w:rsidRDefault="00EC4EEF" w:rsidP="005D5C50">
            <w:r>
              <w:rPr>
                <w:noProof/>
              </w:rPr>
              <w:lastRenderedPageBreak/>
              <w:drawing>
                <wp:inline distT="0" distB="0" distL="0" distR="0">
                  <wp:extent cx="2843784" cy="38496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1.JPG"/>
                          <pic:cNvPicPr/>
                        </pic:nvPicPr>
                        <pic:blipFill>
                          <a:blip r:embed="rId18">
                            <a:extLst>
                              <a:ext uri="{28A0092B-C50C-407E-A947-70E740481C1C}">
                                <a14:useLocalDpi xmlns:a14="http://schemas.microsoft.com/office/drawing/2010/main" val="0"/>
                              </a:ext>
                            </a:extLst>
                          </a:blip>
                          <a:stretch>
                            <a:fillRect/>
                          </a:stretch>
                        </pic:blipFill>
                        <pic:spPr>
                          <a:xfrm>
                            <a:off x="0" y="0"/>
                            <a:ext cx="2843784" cy="3849624"/>
                          </a:xfrm>
                          <a:prstGeom prst="rect">
                            <a:avLst/>
                          </a:prstGeom>
                        </pic:spPr>
                      </pic:pic>
                    </a:graphicData>
                  </a:graphic>
                </wp:inline>
              </w:drawing>
            </w:r>
          </w:p>
        </w:tc>
        <w:tc>
          <w:tcPr>
            <w:tcW w:w="4788" w:type="dxa"/>
          </w:tcPr>
          <w:p w:rsidR="00EC4EEF" w:rsidRDefault="00EC4EEF" w:rsidP="005D5C50">
            <w:r>
              <w:rPr>
                <w:noProof/>
              </w:rPr>
              <w:drawing>
                <wp:inline distT="0" distB="0" distL="0" distR="0">
                  <wp:extent cx="2807208" cy="3803904"/>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2.JPG"/>
                          <pic:cNvPicPr/>
                        </pic:nvPicPr>
                        <pic:blipFill>
                          <a:blip r:embed="rId19">
                            <a:extLst>
                              <a:ext uri="{28A0092B-C50C-407E-A947-70E740481C1C}">
                                <a14:useLocalDpi xmlns:a14="http://schemas.microsoft.com/office/drawing/2010/main" val="0"/>
                              </a:ext>
                            </a:extLst>
                          </a:blip>
                          <a:stretch>
                            <a:fillRect/>
                          </a:stretch>
                        </pic:blipFill>
                        <pic:spPr>
                          <a:xfrm>
                            <a:off x="0" y="0"/>
                            <a:ext cx="2807208" cy="3803904"/>
                          </a:xfrm>
                          <a:prstGeom prst="rect">
                            <a:avLst/>
                          </a:prstGeom>
                        </pic:spPr>
                      </pic:pic>
                    </a:graphicData>
                  </a:graphic>
                </wp:inline>
              </w:drawing>
            </w:r>
          </w:p>
        </w:tc>
      </w:tr>
      <w:tr w:rsidR="00EC4EEF" w:rsidTr="00EC4EEF">
        <w:tc>
          <w:tcPr>
            <w:tcW w:w="4788" w:type="dxa"/>
          </w:tcPr>
          <w:p w:rsidR="00EC4EEF" w:rsidRDefault="00EC4EEF" w:rsidP="005D5C50">
            <w:r>
              <w:rPr>
                <w:noProof/>
              </w:rPr>
              <w:drawing>
                <wp:inline distT="0" distB="0" distL="0" distR="0">
                  <wp:extent cx="2825496" cy="3794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3.JPG"/>
                          <pic:cNvPicPr/>
                        </pic:nvPicPr>
                        <pic:blipFill>
                          <a:blip r:embed="rId20">
                            <a:extLst>
                              <a:ext uri="{28A0092B-C50C-407E-A947-70E740481C1C}">
                                <a14:useLocalDpi xmlns:a14="http://schemas.microsoft.com/office/drawing/2010/main" val="0"/>
                              </a:ext>
                            </a:extLst>
                          </a:blip>
                          <a:stretch>
                            <a:fillRect/>
                          </a:stretch>
                        </pic:blipFill>
                        <pic:spPr>
                          <a:xfrm>
                            <a:off x="0" y="0"/>
                            <a:ext cx="2825496" cy="3794760"/>
                          </a:xfrm>
                          <a:prstGeom prst="rect">
                            <a:avLst/>
                          </a:prstGeom>
                        </pic:spPr>
                      </pic:pic>
                    </a:graphicData>
                  </a:graphic>
                </wp:inline>
              </w:drawing>
            </w:r>
          </w:p>
        </w:tc>
        <w:tc>
          <w:tcPr>
            <w:tcW w:w="4788" w:type="dxa"/>
          </w:tcPr>
          <w:p w:rsidR="00EC4EEF" w:rsidRDefault="00EC4EEF" w:rsidP="005D5C50">
            <w:r>
              <w:rPr>
                <w:noProof/>
              </w:rPr>
              <w:drawing>
                <wp:inline distT="0" distB="0" distL="0" distR="0">
                  <wp:extent cx="2825496" cy="3822192"/>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4.JPG"/>
                          <pic:cNvPicPr/>
                        </pic:nvPicPr>
                        <pic:blipFill>
                          <a:blip r:embed="rId21">
                            <a:extLst>
                              <a:ext uri="{28A0092B-C50C-407E-A947-70E740481C1C}">
                                <a14:useLocalDpi xmlns:a14="http://schemas.microsoft.com/office/drawing/2010/main" val="0"/>
                              </a:ext>
                            </a:extLst>
                          </a:blip>
                          <a:stretch>
                            <a:fillRect/>
                          </a:stretch>
                        </pic:blipFill>
                        <pic:spPr>
                          <a:xfrm>
                            <a:off x="0" y="0"/>
                            <a:ext cx="2825496" cy="3822192"/>
                          </a:xfrm>
                          <a:prstGeom prst="rect">
                            <a:avLst/>
                          </a:prstGeom>
                        </pic:spPr>
                      </pic:pic>
                    </a:graphicData>
                  </a:graphic>
                </wp:inline>
              </w:drawing>
            </w:r>
          </w:p>
        </w:tc>
      </w:tr>
    </w:tbl>
    <w:p w:rsidR="00EC4EEF" w:rsidRDefault="00EC4EEF" w:rsidP="005D5C50"/>
    <w:p w:rsidR="001235D2" w:rsidRDefault="00F46C2A" w:rsidP="00F46C2A">
      <w:pPr>
        <w:pStyle w:val="Heading1"/>
      </w:pPr>
      <w:r>
        <w:lastRenderedPageBreak/>
        <w:t>Improvements</w:t>
      </w:r>
    </w:p>
    <w:p w:rsidR="00F46C2A" w:rsidRDefault="00CF5D6D" w:rsidP="005D5C50">
      <w:r>
        <w:t>The payload mass is currently only represented by a 30 kg discrete mass with no rotary inertia. In reality the payload will be mounted on a relatively large table atop the pylon. This could lower the torsional mode significantly and could create low frequency table tip/tilt modes.</w:t>
      </w:r>
    </w:p>
    <w:p w:rsidR="00CF5D6D" w:rsidRDefault="009267B6" w:rsidP="005D5C50">
      <w:r>
        <w:t xml:space="preserve">The low frequency panel modes can be increased by bending the lower edges to change the boundary condition from free to simple. This would increase the first frequency from 49 Hz to </w:t>
      </w:r>
      <w:r w:rsidR="0055075A">
        <w:t>~111 Hz.</w:t>
      </w:r>
    </w:p>
    <w:p w:rsidR="00DB1CC3" w:rsidRDefault="0055075A" w:rsidP="005D5C50">
      <w:r>
        <w:t xml:space="preserve">To increase the first bending frequencies </w:t>
      </w:r>
      <w:r w:rsidR="00B93813">
        <w:t xml:space="preserve">one could consider </w:t>
      </w:r>
      <w:r w:rsidR="00482D99">
        <w:t>increasing the thickness of the stainless steel sheet. Doubling the thickness should increase the first bending frequencies by 31%, so from 56 Hz to ~73 Hz.</w:t>
      </w:r>
      <w:r w:rsidR="00643942">
        <w:t xml:space="preserve"> Doubling the thickness would also </w:t>
      </w:r>
      <w:r w:rsidR="00D35F22">
        <w:t>increase the panel first resonance to ~200 Hz (if the lower edge is bent over).</w:t>
      </w:r>
    </w:p>
    <w:p w:rsidR="00EA4432" w:rsidRDefault="00547ED1" w:rsidP="005D5C50">
      <w:r>
        <w:t>Even better would be to change the material from stainless steel to graphite epoxy. The stiffness of graphite epoxy is higher, the density</w:t>
      </w:r>
      <w:r w:rsidR="00C3290A">
        <w:t xml:space="preserve"> is considerably</w:t>
      </w:r>
      <w:r>
        <w:t xml:space="preserve"> lower and it has much higher material damping.</w:t>
      </w:r>
      <w:r w:rsidR="00882995">
        <w:t xml:space="preserve"> Fiber reinforced materials can be tailored to be anisotropic, but </w:t>
      </w:r>
      <w:r w:rsidR="003C1913">
        <w:t xml:space="preserve">it is likely that an isotropic formulation (layup) would suffice. As an example, consider Cytec </w:t>
      </w:r>
      <w:proofErr w:type="spellStart"/>
      <w:r w:rsidR="003C1913">
        <w:t>Thornel</w:t>
      </w:r>
      <w:proofErr w:type="spellEnd"/>
      <w:r w:rsidR="003C1913">
        <w:t xml:space="preserve"> P-55 Carbon Fiber/Epoxy composite:</w:t>
      </w:r>
    </w:p>
    <w:p w:rsidR="003C1913" w:rsidRDefault="003C1913" w:rsidP="005D5C50">
      <w:r>
        <w:t xml:space="preserve">E = 220 </w:t>
      </w:r>
      <w:proofErr w:type="spellStart"/>
      <w:proofErr w:type="gramStart"/>
      <w:r>
        <w:t>GPa</w:t>
      </w:r>
      <w:proofErr w:type="spellEnd"/>
      <w:proofErr w:type="gramEnd"/>
    </w:p>
    <w:p w:rsidR="003C1913" w:rsidRDefault="003C1913" w:rsidP="005D5C50">
      <w:r w:rsidRPr="003C1913">
        <w:rPr>
          <w:rFonts w:ascii="Symbol" w:hAnsi="Symbol"/>
        </w:rPr>
        <w:t></w:t>
      </w:r>
      <w:r>
        <w:t xml:space="preserve"> = 1700 kg/m3</w:t>
      </w:r>
    </w:p>
    <w:p w:rsidR="003C1913" w:rsidRPr="001A7E58" w:rsidRDefault="003C1913" w:rsidP="005D5C50">
      <w:r>
        <w:t xml:space="preserve">And I’ve assumed </w:t>
      </w:r>
      <w:r w:rsidRPr="003C1913">
        <w:rPr>
          <w:rFonts w:ascii="Symbol" w:hAnsi="Symbol"/>
        </w:rPr>
        <w:t></w:t>
      </w:r>
      <w:r>
        <w:t xml:space="preserve"> = 0.3 (for now, but this can be checked).</w:t>
      </w:r>
      <w:r w:rsidR="00C3290A">
        <w:t xml:space="preserve"> Using the same geometry as the original model 2, an FEA analysis gives 79 Hz for the first bending frequencies and 106 Hz for the first panel frequencies. Adding a lower lip to the panels (to reinforce them) and increasing the thickness would further increase the first frequencies.</w:t>
      </w:r>
    </w:p>
    <w:sectPr w:rsidR="003C1913" w:rsidRPr="001A7E58" w:rsidSect="00F421A6">
      <w:headerReference w:type="default" r:id="rId22"/>
      <w:footerReference w:type="default" r:id="rId23"/>
      <w:footerReference w:type="first" r:id="rId2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80" w:rsidRDefault="00AD3280" w:rsidP="00172F22">
      <w:pPr>
        <w:spacing w:after="0" w:line="240" w:lineRule="auto"/>
      </w:pPr>
      <w:r>
        <w:separator/>
      </w:r>
    </w:p>
  </w:endnote>
  <w:endnote w:type="continuationSeparator" w:id="0">
    <w:p w:rsidR="00AD3280" w:rsidRDefault="00AD3280" w:rsidP="00172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A6" w:rsidRDefault="00F421A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1026A" w:rsidRPr="0081026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F421A6" w:rsidRDefault="00F42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1A6" w:rsidRDefault="00F421A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1026A" w:rsidRPr="0081026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421A6" w:rsidRDefault="00F42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80" w:rsidRDefault="00AD3280" w:rsidP="00172F22">
      <w:pPr>
        <w:spacing w:after="0" w:line="240" w:lineRule="auto"/>
      </w:pPr>
      <w:r>
        <w:separator/>
      </w:r>
    </w:p>
  </w:footnote>
  <w:footnote w:type="continuationSeparator" w:id="0">
    <w:p w:rsidR="00AD3280" w:rsidRDefault="00AD3280" w:rsidP="00172F22">
      <w:pPr>
        <w:spacing w:after="0" w:line="240" w:lineRule="auto"/>
      </w:pPr>
      <w:r>
        <w:continuationSeparator/>
      </w:r>
    </w:p>
  </w:footnote>
  <w:footnote w:id="1">
    <w:p w:rsidR="00732A83" w:rsidRDefault="00732A83">
      <w:pPr>
        <w:pStyle w:val="FootnoteText"/>
      </w:pPr>
      <w:r>
        <w:rPr>
          <w:rStyle w:val="FootnoteReference"/>
        </w:rPr>
        <w:footnoteRef/>
      </w:r>
      <w:r>
        <w:t xml:space="preserve"> The FEA model results reported in this memo were generated from the </w:t>
      </w:r>
      <w:proofErr w:type="spellStart"/>
      <w:r>
        <w:t>SolidModel</w:t>
      </w:r>
      <w:proofErr w:type="spellEnd"/>
      <w:r>
        <w:t xml:space="preserve"> posted in the DCC with LIGO-D1101270-v3, using ANSYS. Although close to the results reported in LIGO-D1101270-v3, they are somewhat different due to a different mesh.</w:t>
      </w:r>
    </w:p>
  </w:footnote>
  <w:footnote w:id="2">
    <w:p w:rsidR="00172F22" w:rsidRDefault="00172F22">
      <w:pPr>
        <w:pStyle w:val="FootnoteText"/>
      </w:pPr>
      <w:r>
        <w:rPr>
          <w:rStyle w:val="FootnoteReference"/>
        </w:rPr>
        <w:footnoteRef/>
      </w:r>
      <w:r>
        <w:t xml:space="preserve"> </w:t>
      </w:r>
      <w:r w:rsidRPr="00172F22">
        <w:t xml:space="preserve">W. </w:t>
      </w:r>
      <w:proofErr w:type="spellStart"/>
      <w:r w:rsidRPr="00172F22">
        <w:t>Pilkey</w:t>
      </w:r>
      <w:proofErr w:type="spellEnd"/>
      <w:r w:rsidRPr="00172F22">
        <w:t>, P. Chang, Modern Formulas for Statics and Dynamics, McGraw Hill, 1978, pg.338.</w:t>
      </w:r>
    </w:p>
  </w:footnote>
  <w:footnote w:id="3">
    <w:p w:rsidR="00172F22" w:rsidRDefault="00172F22">
      <w:pPr>
        <w:pStyle w:val="FootnoteText"/>
      </w:pPr>
      <w:r>
        <w:rPr>
          <w:rStyle w:val="FootnoteReference"/>
        </w:rPr>
        <w:footnoteRef/>
      </w:r>
      <w:r>
        <w:t xml:space="preserve"> </w:t>
      </w:r>
      <w:r w:rsidRPr="00172F22">
        <w:t xml:space="preserve">A. </w:t>
      </w:r>
      <w:proofErr w:type="spellStart"/>
      <w:r w:rsidRPr="00172F22">
        <w:t>Leissa</w:t>
      </w:r>
      <w:proofErr w:type="spellEnd"/>
      <w:r w:rsidRPr="00172F22">
        <w:t>, Vibration of Plates, NASA SP-160.</w:t>
      </w:r>
    </w:p>
  </w:footnote>
  <w:footnote w:id="4">
    <w:p w:rsidR="00172F22" w:rsidRDefault="00172F22">
      <w:pPr>
        <w:pStyle w:val="FootnoteText"/>
      </w:pPr>
      <w:r>
        <w:rPr>
          <w:rStyle w:val="FootnoteReference"/>
        </w:rPr>
        <w:footnoteRef/>
      </w:r>
      <w:r>
        <w:t xml:space="preserve"> D. Coyne, Frequency Analysis of the Quadruple Pendulum Structure, LIGO-T030044-x0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738743"/>
      <w:placeholder>
        <w:docPart w:val="FE78BBD173C441D9B15ACAB0D90FD05C"/>
      </w:placeholder>
      <w:dataBinding w:prefixMappings="xmlns:ns0='http://schemas.openxmlformats.org/package/2006/metadata/core-properties' xmlns:ns1='http://purl.org/dc/elements/1.1/'" w:xpath="/ns0:coreProperties[1]/ns1:title[1]" w:storeItemID="{6C3C8BC8-F283-45AE-878A-BAB7291924A1}"/>
      <w:text/>
    </w:sdtPr>
    <w:sdtContent>
      <w:p w:rsidR="00F421A6" w:rsidRDefault="0081026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1026A">
          <w:t>LIGO-T1100379-v1</w:t>
        </w:r>
        <w:r>
          <w:t xml:space="preserve">: </w:t>
        </w:r>
        <w:r w:rsidRPr="0081026A">
          <w:t xml:space="preserve">Comments on Modal Analysis of the </w:t>
        </w:r>
        <w:proofErr w:type="spellStart"/>
        <w:r w:rsidRPr="0081026A">
          <w:t>PCal</w:t>
        </w:r>
        <w:proofErr w:type="spellEnd"/>
        <w:r w:rsidRPr="0081026A">
          <w:t xml:space="preserve"> Pylon</w:t>
        </w:r>
      </w:p>
    </w:sdtContent>
  </w:sdt>
  <w:p w:rsidR="00F421A6" w:rsidRDefault="00F42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F29714"/>
    <w:lvl w:ilvl="0">
      <w:start w:val="1"/>
      <w:numFmt w:val="decimal"/>
      <w:lvlText w:val="%1."/>
      <w:lvlJc w:val="left"/>
      <w:pPr>
        <w:tabs>
          <w:tab w:val="num" w:pos="1800"/>
        </w:tabs>
        <w:ind w:left="1800" w:hanging="360"/>
      </w:pPr>
    </w:lvl>
  </w:abstractNum>
  <w:abstractNum w:abstractNumId="1">
    <w:nsid w:val="FFFFFF7D"/>
    <w:multiLevelType w:val="singleLevel"/>
    <w:tmpl w:val="25488888"/>
    <w:lvl w:ilvl="0">
      <w:start w:val="1"/>
      <w:numFmt w:val="decimal"/>
      <w:lvlText w:val="%1."/>
      <w:lvlJc w:val="left"/>
      <w:pPr>
        <w:tabs>
          <w:tab w:val="num" w:pos="1440"/>
        </w:tabs>
        <w:ind w:left="1440" w:hanging="360"/>
      </w:pPr>
    </w:lvl>
  </w:abstractNum>
  <w:abstractNum w:abstractNumId="2">
    <w:nsid w:val="FFFFFF7E"/>
    <w:multiLevelType w:val="singleLevel"/>
    <w:tmpl w:val="3C5AA2B2"/>
    <w:lvl w:ilvl="0">
      <w:start w:val="1"/>
      <w:numFmt w:val="decimal"/>
      <w:lvlText w:val="%1."/>
      <w:lvlJc w:val="left"/>
      <w:pPr>
        <w:tabs>
          <w:tab w:val="num" w:pos="1080"/>
        </w:tabs>
        <w:ind w:left="1080" w:hanging="360"/>
      </w:pPr>
    </w:lvl>
  </w:abstractNum>
  <w:abstractNum w:abstractNumId="3">
    <w:nsid w:val="FFFFFF7F"/>
    <w:multiLevelType w:val="singleLevel"/>
    <w:tmpl w:val="796234EA"/>
    <w:lvl w:ilvl="0">
      <w:start w:val="1"/>
      <w:numFmt w:val="decimal"/>
      <w:lvlText w:val="%1."/>
      <w:lvlJc w:val="left"/>
      <w:pPr>
        <w:tabs>
          <w:tab w:val="num" w:pos="720"/>
        </w:tabs>
        <w:ind w:left="720" w:hanging="360"/>
      </w:pPr>
    </w:lvl>
  </w:abstractNum>
  <w:abstractNum w:abstractNumId="4">
    <w:nsid w:val="FFFFFF80"/>
    <w:multiLevelType w:val="singleLevel"/>
    <w:tmpl w:val="D61C97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D38A2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3241C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4A3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BA0658"/>
    <w:lvl w:ilvl="0">
      <w:start w:val="1"/>
      <w:numFmt w:val="decimal"/>
      <w:lvlText w:val="%1."/>
      <w:lvlJc w:val="left"/>
      <w:pPr>
        <w:tabs>
          <w:tab w:val="num" w:pos="360"/>
        </w:tabs>
        <w:ind w:left="360" w:hanging="360"/>
      </w:pPr>
    </w:lvl>
  </w:abstractNum>
  <w:abstractNum w:abstractNumId="9">
    <w:nsid w:val="FFFFFF89"/>
    <w:multiLevelType w:val="singleLevel"/>
    <w:tmpl w:val="8E222DE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08"/>
    <w:rsid w:val="00021405"/>
    <w:rsid w:val="00080788"/>
    <w:rsid w:val="000C579F"/>
    <w:rsid w:val="00123142"/>
    <w:rsid w:val="001235D2"/>
    <w:rsid w:val="00172F22"/>
    <w:rsid w:val="00187A94"/>
    <w:rsid w:val="001A7E58"/>
    <w:rsid w:val="001E59A9"/>
    <w:rsid w:val="00264C8A"/>
    <w:rsid w:val="00270C1B"/>
    <w:rsid w:val="0027364B"/>
    <w:rsid w:val="002B79BF"/>
    <w:rsid w:val="002D0F14"/>
    <w:rsid w:val="002F6926"/>
    <w:rsid w:val="00334BD7"/>
    <w:rsid w:val="00347A0E"/>
    <w:rsid w:val="00362232"/>
    <w:rsid w:val="003869BC"/>
    <w:rsid w:val="003B0910"/>
    <w:rsid w:val="003C1913"/>
    <w:rsid w:val="003D2E5E"/>
    <w:rsid w:val="00404629"/>
    <w:rsid w:val="00444165"/>
    <w:rsid w:val="00444829"/>
    <w:rsid w:val="004620BF"/>
    <w:rsid w:val="00482D99"/>
    <w:rsid w:val="00484799"/>
    <w:rsid w:val="004E61A8"/>
    <w:rsid w:val="005049D1"/>
    <w:rsid w:val="005352E9"/>
    <w:rsid w:val="00547ED1"/>
    <w:rsid w:val="0055075A"/>
    <w:rsid w:val="00571437"/>
    <w:rsid w:val="0058283A"/>
    <w:rsid w:val="005D5C50"/>
    <w:rsid w:val="00643942"/>
    <w:rsid w:val="006A7E25"/>
    <w:rsid w:val="006D4F72"/>
    <w:rsid w:val="007305E4"/>
    <w:rsid w:val="00732A83"/>
    <w:rsid w:val="00735D07"/>
    <w:rsid w:val="00761096"/>
    <w:rsid w:val="007A22F8"/>
    <w:rsid w:val="007E7CF4"/>
    <w:rsid w:val="007F3665"/>
    <w:rsid w:val="008065CB"/>
    <w:rsid w:val="00807FAE"/>
    <w:rsid w:val="0081026A"/>
    <w:rsid w:val="00855DBD"/>
    <w:rsid w:val="00862E11"/>
    <w:rsid w:val="00882995"/>
    <w:rsid w:val="008A0693"/>
    <w:rsid w:val="008C20B8"/>
    <w:rsid w:val="008D5265"/>
    <w:rsid w:val="008F1A28"/>
    <w:rsid w:val="009267B6"/>
    <w:rsid w:val="009551C9"/>
    <w:rsid w:val="0096544A"/>
    <w:rsid w:val="009A25A9"/>
    <w:rsid w:val="00A07546"/>
    <w:rsid w:val="00A3242D"/>
    <w:rsid w:val="00A620AF"/>
    <w:rsid w:val="00A74A8B"/>
    <w:rsid w:val="00AB7AE4"/>
    <w:rsid w:val="00AC3708"/>
    <w:rsid w:val="00AD3280"/>
    <w:rsid w:val="00AF378A"/>
    <w:rsid w:val="00B14F53"/>
    <w:rsid w:val="00B93813"/>
    <w:rsid w:val="00BC00FB"/>
    <w:rsid w:val="00BF227F"/>
    <w:rsid w:val="00C274D5"/>
    <w:rsid w:val="00C3290A"/>
    <w:rsid w:val="00C72BD2"/>
    <w:rsid w:val="00CA350B"/>
    <w:rsid w:val="00CC1BFD"/>
    <w:rsid w:val="00CF5D6D"/>
    <w:rsid w:val="00D35F22"/>
    <w:rsid w:val="00D62CFA"/>
    <w:rsid w:val="00DB1CC3"/>
    <w:rsid w:val="00DC6218"/>
    <w:rsid w:val="00DC6AF7"/>
    <w:rsid w:val="00DE16C5"/>
    <w:rsid w:val="00DE54A0"/>
    <w:rsid w:val="00E357E0"/>
    <w:rsid w:val="00E84D8F"/>
    <w:rsid w:val="00EA4432"/>
    <w:rsid w:val="00EB0FD7"/>
    <w:rsid w:val="00EC4EEF"/>
    <w:rsid w:val="00F23334"/>
    <w:rsid w:val="00F421A6"/>
    <w:rsid w:val="00F46C2A"/>
    <w:rsid w:val="00FB6A71"/>
    <w:rsid w:val="00FB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8F"/>
  </w:style>
  <w:style w:type="paragraph" w:styleId="Heading1">
    <w:name w:val="heading 1"/>
    <w:basedOn w:val="Normal"/>
    <w:next w:val="Normal"/>
    <w:link w:val="Heading1Char"/>
    <w:uiPriority w:val="9"/>
    <w:qFormat/>
    <w:rsid w:val="006A7E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E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08"/>
    <w:rPr>
      <w:rFonts w:ascii="Tahoma" w:hAnsi="Tahoma" w:cs="Tahoma"/>
      <w:sz w:val="16"/>
      <w:szCs w:val="16"/>
    </w:rPr>
  </w:style>
  <w:style w:type="character" w:styleId="PlaceholderText">
    <w:name w:val="Placeholder Text"/>
    <w:basedOn w:val="DefaultParagraphFont"/>
    <w:uiPriority w:val="99"/>
    <w:semiHidden/>
    <w:rsid w:val="000C579F"/>
    <w:rPr>
      <w:color w:val="808080"/>
    </w:rPr>
  </w:style>
  <w:style w:type="table" w:styleId="TableGrid">
    <w:name w:val="Table Grid"/>
    <w:basedOn w:val="TableNormal"/>
    <w:uiPriority w:val="59"/>
    <w:rsid w:val="00DE5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7E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7E2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172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F22"/>
    <w:rPr>
      <w:sz w:val="20"/>
      <w:szCs w:val="20"/>
    </w:rPr>
  </w:style>
  <w:style w:type="character" w:styleId="FootnoteReference">
    <w:name w:val="footnote reference"/>
    <w:basedOn w:val="DefaultParagraphFont"/>
    <w:uiPriority w:val="99"/>
    <w:semiHidden/>
    <w:unhideWhenUsed/>
    <w:rsid w:val="00172F22"/>
    <w:rPr>
      <w:vertAlign w:val="superscript"/>
    </w:rPr>
  </w:style>
  <w:style w:type="paragraph" w:styleId="Title">
    <w:name w:val="Title"/>
    <w:basedOn w:val="Normal"/>
    <w:next w:val="Normal"/>
    <w:link w:val="TitleChar"/>
    <w:uiPriority w:val="10"/>
    <w:qFormat/>
    <w:rsid w:val="00E84D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D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42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A6"/>
  </w:style>
  <w:style w:type="paragraph" w:styleId="Footer">
    <w:name w:val="footer"/>
    <w:basedOn w:val="Normal"/>
    <w:link w:val="FooterChar"/>
    <w:uiPriority w:val="99"/>
    <w:unhideWhenUsed/>
    <w:rsid w:val="00F42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8F"/>
  </w:style>
  <w:style w:type="paragraph" w:styleId="Heading1">
    <w:name w:val="heading 1"/>
    <w:basedOn w:val="Normal"/>
    <w:next w:val="Normal"/>
    <w:link w:val="Heading1Char"/>
    <w:uiPriority w:val="9"/>
    <w:qFormat/>
    <w:rsid w:val="006A7E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A7E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08"/>
    <w:rPr>
      <w:rFonts w:ascii="Tahoma" w:hAnsi="Tahoma" w:cs="Tahoma"/>
      <w:sz w:val="16"/>
      <w:szCs w:val="16"/>
    </w:rPr>
  </w:style>
  <w:style w:type="character" w:styleId="PlaceholderText">
    <w:name w:val="Placeholder Text"/>
    <w:basedOn w:val="DefaultParagraphFont"/>
    <w:uiPriority w:val="99"/>
    <w:semiHidden/>
    <w:rsid w:val="000C579F"/>
    <w:rPr>
      <w:color w:val="808080"/>
    </w:rPr>
  </w:style>
  <w:style w:type="table" w:styleId="TableGrid">
    <w:name w:val="Table Grid"/>
    <w:basedOn w:val="TableNormal"/>
    <w:uiPriority w:val="59"/>
    <w:rsid w:val="00DE54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7E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A7E25"/>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172F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F22"/>
    <w:rPr>
      <w:sz w:val="20"/>
      <w:szCs w:val="20"/>
    </w:rPr>
  </w:style>
  <w:style w:type="character" w:styleId="FootnoteReference">
    <w:name w:val="footnote reference"/>
    <w:basedOn w:val="DefaultParagraphFont"/>
    <w:uiPriority w:val="99"/>
    <w:semiHidden/>
    <w:unhideWhenUsed/>
    <w:rsid w:val="00172F22"/>
    <w:rPr>
      <w:vertAlign w:val="superscript"/>
    </w:rPr>
  </w:style>
  <w:style w:type="paragraph" w:styleId="Title">
    <w:name w:val="Title"/>
    <w:basedOn w:val="Normal"/>
    <w:next w:val="Normal"/>
    <w:link w:val="TitleChar"/>
    <w:uiPriority w:val="10"/>
    <w:qFormat/>
    <w:rsid w:val="00E84D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D8F"/>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F42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1A6"/>
  </w:style>
  <w:style w:type="paragraph" w:styleId="Footer">
    <w:name w:val="footer"/>
    <w:basedOn w:val="Normal"/>
    <w:link w:val="FooterChar"/>
    <w:uiPriority w:val="99"/>
    <w:unhideWhenUsed/>
    <w:rsid w:val="00F42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78BBD173C441D9B15ACAB0D90FD05C"/>
        <w:category>
          <w:name w:val="General"/>
          <w:gallery w:val="placeholder"/>
        </w:category>
        <w:types>
          <w:type w:val="bbPlcHdr"/>
        </w:types>
        <w:behaviors>
          <w:behavior w:val="content"/>
        </w:behaviors>
        <w:guid w:val="{9898A589-2B77-4CB2-930F-4DDCE9A08122}"/>
      </w:docPartPr>
      <w:docPartBody>
        <w:p w:rsidR="00737D89" w:rsidRDefault="004B2700" w:rsidP="004B2700">
          <w:pPr>
            <w:pStyle w:val="FE78BBD173C441D9B15ACAB0D90FD05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700"/>
    <w:rsid w:val="00033DE7"/>
    <w:rsid w:val="004B2700"/>
    <w:rsid w:val="00737D89"/>
    <w:rsid w:val="00C85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700"/>
    <w:rPr>
      <w:color w:val="808080"/>
    </w:rPr>
  </w:style>
  <w:style w:type="paragraph" w:customStyle="1" w:styleId="3079F5841D5B49679C26BACF6BEAD965">
    <w:name w:val="3079F5841D5B49679C26BACF6BEAD965"/>
    <w:rsid w:val="004B2700"/>
  </w:style>
  <w:style w:type="paragraph" w:customStyle="1" w:styleId="D308E1502337413F900238A1045521E7">
    <w:name w:val="D308E1502337413F900238A1045521E7"/>
    <w:rsid w:val="004B2700"/>
  </w:style>
  <w:style w:type="paragraph" w:customStyle="1" w:styleId="FE78BBD173C441D9B15ACAB0D90FD05C">
    <w:name w:val="FE78BBD173C441D9B15ACAB0D90FD05C"/>
    <w:rsid w:val="004B27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700"/>
    <w:rPr>
      <w:color w:val="808080"/>
    </w:rPr>
  </w:style>
  <w:style w:type="paragraph" w:customStyle="1" w:styleId="3079F5841D5B49679C26BACF6BEAD965">
    <w:name w:val="3079F5841D5B49679C26BACF6BEAD965"/>
    <w:rsid w:val="004B2700"/>
  </w:style>
  <w:style w:type="paragraph" w:customStyle="1" w:styleId="D308E1502337413F900238A1045521E7">
    <w:name w:val="D308E1502337413F900238A1045521E7"/>
    <w:rsid w:val="004B2700"/>
  </w:style>
  <w:style w:type="paragraph" w:customStyle="1" w:styleId="FE78BBD173C441D9B15ACAB0D90FD05C">
    <w:name w:val="FE78BBD173C441D9B15ACAB0D90FD05C"/>
    <w:rsid w:val="004B27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B964-6D69-4588-A1F1-3103783F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1515</Words>
  <Characters>6912</Characters>
  <Application>Microsoft Office Word</Application>
  <DocSecurity>0</DocSecurity>
  <Lines>153</Lines>
  <Paragraphs>90</Paragraphs>
  <ScaleCrop>false</ScaleCrop>
  <HeadingPairs>
    <vt:vector size="2" baseType="variant">
      <vt:variant>
        <vt:lpstr>Title</vt:lpstr>
      </vt:variant>
      <vt:variant>
        <vt:i4>1</vt:i4>
      </vt:variant>
    </vt:vector>
  </HeadingPairs>
  <TitlesOfParts>
    <vt:vector size="1" baseType="lpstr">
      <vt:lpstr>Comments on Modal Analysis of the PCal Pylon</vt:lpstr>
    </vt:vector>
  </TitlesOfParts>
  <Company>Microsoft</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LIGO-T1100379-v1: Comments on Modal Analysis of the PCal Pylon</dc:title>
  <dc:creator>coyne</dc:creator>
  <cp:lastModifiedBy>coyne</cp:lastModifiedBy>
  <cp:revision>2</cp:revision>
  <dcterms:created xsi:type="dcterms:W3CDTF">2011-07-18T07:53:00Z</dcterms:created>
  <dcterms:modified xsi:type="dcterms:W3CDTF">2011-07-18T07:53:00Z</dcterms:modified>
</cp:coreProperties>
</file>