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3E8A6E" w14:textId="77777777" w:rsidR="00FB1B59" w:rsidRDefault="00FB1B59">
      <w:pPr>
        <w:pStyle w:val="PlainText"/>
        <w:jc w:val="center"/>
        <w:rPr>
          <w:i/>
          <w:sz w:val="36"/>
        </w:rPr>
      </w:pPr>
    </w:p>
    <w:p w14:paraId="1B514B38" w14:textId="77777777" w:rsidR="00FB1B59" w:rsidRDefault="00FB1B59">
      <w:pPr>
        <w:pStyle w:val="PlainText"/>
        <w:jc w:val="center"/>
        <w:rPr>
          <w:i/>
          <w:sz w:val="36"/>
        </w:rPr>
      </w:pPr>
      <w:r>
        <w:rPr>
          <w:i/>
          <w:sz w:val="36"/>
        </w:rPr>
        <w:t>LIGO Laboratory / LIGO Scientific Collaboration</w:t>
      </w:r>
    </w:p>
    <w:p w14:paraId="18BF7219" w14:textId="77777777" w:rsidR="00FB1B59" w:rsidRDefault="00FB1B59">
      <w:pPr>
        <w:pStyle w:val="PlainText"/>
        <w:jc w:val="center"/>
        <w:rPr>
          <w:sz w:val="36"/>
        </w:rPr>
      </w:pPr>
    </w:p>
    <w:p w14:paraId="0388D8E4" w14:textId="77777777" w:rsidR="00FB1B59" w:rsidRDefault="00FB1B59">
      <w:pPr>
        <w:pStyle w:val="PlainText"/>
        <w:jc w:val="left"/>
        <w:rPr>
          <w:sz w:val="36"/>
        </w:rPr>
      </w:pPr>
    </w:p>
    <w:p w14:paraId="33F551F6" w14:textId="1042BF5B" w:rsidR="00FB1B59" w:rsidRPr="00564DF0" w:rsidRDefault="006D1F04" w:rsidP="00564DF0">
      <w:pPr>
        <w:pBdr>
          <w:top w:val="threeDEmboss" w:sz="24" w:space="8" w:color="auto"/>
          <w:left w:val="threeDEmboss" w:sz="24" w:space="4" w:color="auto"/>
          <w:bottom w:val="threeDEmboss" w:sz="24" w:space="12" w:color="auto"/>
          <w:right w:val="threeDEmboss" w:sz="24" w:space="4" w:color="auto"/>
        </w:pBdr>
        <w:tabs>
          <w:tab w:val="center" w:pos="5040"/>
          <w:tab w:val="right" w:pos="9360"/>
        </w:tabs>
        <w:spacing w:before="240"/>
        <w:rPr>
          <w:rFonts w:ascii="Times" w:hAnsi="Times"/>
          <w:i/>
          <w:iCs/>
          <w:color w:val="0000FF"/>
          <w:sz w:val="40"/>
        </w:rPr>
      </w:pPr>
      <w:r>
        <w:t xml:space="preserve">   </w:t>
      </w:r>
      <w:r w:rsidR="005678E5">
        <w:t>LIGO-T1000276-v5</w:t>
      </w:r>
      <w:r w:rsidR="00FB1B59">
        <w:tab/>
      </w:r>
      <w:r w:rsidR="00FB1B59">
        <w:tab/>
      </w:r>
      <w:r w:rsidR="009E633A">
        <w:t>January</w:t>
      </w:r>
      <w:r w:rsidR="005678E5">
        <w:t xml:space="preserve"> 25,</w:t>
      </w:r>
      <w:r w:rsidR="009E633A">
        <w:t xml:space="preserve"> 2013</w:t>
      </w:r>
    </w:p>
    <w:p w14:paraId="65560782" w14:textId="1C393DBE" w:rsidR="00FB1B59" w:rsidRDefault="006D1F04" w:rsidP="00564DF0">
      <w:pPr>
        <w:pBdr>
          <w:top w:val="threeDEmboss" w:sz="24" w:space="8" w:color="auto"/>
          <w:left w:val="threeDEmboss" w:sz="24" w:space="4" w:color="auto"/>
          <w:bottom w:val="threeDEmboss" w:sz="24" w:space="12" w:color="auto"/>
          <w:right w:val="threeDEmboss" w:sz="24" w:space="4" w:color="auto"/>
        </w:pBdr>
      </w:pPr>
      <w:r>
        <w:rPr>
          <w:noProof/>
        </w:rPr>
        <mc:AlternateContent>
          <mc:Choice Requires="wps">
            <w:drawing>
              <wp:anchor distT="0" distB="0" distL="114300" distR="114300" simplePos="0" relativeHeight="251659264" behindDoc="0" locked="0" layoutInCell="1" allowOverlap="1" wp14:anchorId="458BB6C9" wp14:editId="5B025FD7">
                <wp:simplePos x="0" y="0"/>
                <wp:positionH relativeFrom="column">
                  <wp:posOffset>124460</wp:posOffset>
                </wp:positionH>
                <wp:positionV relativeFrom="paragraph">
                  <wp:posOffset>102235</wp:posOffset>
                </wp:positionV>
                <wp:extent cx="5829300" cy="0"/>
                <wp:effectExtent l="50800" t="25400" r="63500" b="101600"/>
                <wp:wrapNone/>
                <wp:docPr id="8" name="Straight Connector 8"/>
                <wp:cNvGraphicFramePr/>
                <a:graphic xmlns:a="http://schemas.openxmlformats.org/drawingml/2006/main">
                  <a:graphicData uri="http://schemas.microsoft.com/office/word/2010/wordprocessingShape">
                    <wps:wsp>
                      <wps:cNvCnPr/>
                      <wps:spPr>
                        <a:xfrm>
                          <a:off x="0" y="0"/>
                          <a:ext cx="5829300" cy="0"/>
                        </a:xfrm>
                        <a:prstGeom prst="line">
                          <a:avLst/>
                        </a:prstGeom>
                        <a:ln>
                          <a:solidFill>
                            <a:schemeClr val="tx1">
                              <a:lumMod val="65000"/>
                              <a:lumOff val="3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pt,8.05pt" to="468.8pt,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" strokecolor="#5a5a5a [2109]" strokeweight="2pt">
                <v:shadow on="t" opacity="24903f" mv:blur="40000f" origin=",.5" offset="0,20000emu"/>
              </v:line>
            </w:pict>
          </mc:Fallback>
        </mc:AlternateContent>
      </w:r>
    </w:p>
    <w:p w14:paraId="1064AF5E" w14:textId="1B2E5743" w:rsidR="00FB1B59" w:rsidRPr="00F60302" w:rsidRDefault="009E633A" w:rsidP="00564DF0">
      <w:pPr>
        <w:pBdr>
          <w:top w:val="threeDEmboss" w:sz="24" w:space="8" w:color="auto"/>
          <w:left w:val="threeDEmboss" w:sz="24" w:space="4" w:color="auto"/>
          <w:bottom w:val="threeDEmboss" w:sz="24" w:space="12" w:color="auto"/>
          <w:right w:val="threeDEmboss" w:sz="24" w:space="4" w:color="auto"/>
        </w:pBdr>
        <w:jc w:val="center"/>
        <w:rPr>
          <w:rFonts w:asciiTheme="majorHAnsi" w:hAnsiTheme="majorHAnsi"/>
          <w:b/>
          <w:sz w:val="36"/>
          <w:szCs w:val="36"/>
        </w:rPr>
      </w:pPr>
      <w:r w:rsidRPr="00F60302">
        <w:rPr>
          <w:rFonts w:asciiTheme="majorHAnsi" w:hAnsiTheme="majorHAnsi"/>
          <w:b/>
          <w:sz w:val="36"/>
          <w:szCs w:val="36"/>
        </w:rPr>
        <w:t>Output Mode Cleaner Design</w:t>
      </w:r>
    </w:p>
    <w:p w14:paraId="52C7AB9C" w14:textId="755C752F" w:rsidR="00C24E36" w:rsidRDefault="00C24E36" w:rsidP="00564DF0">
      <w:pPr>
        <w:pBdr>
          <w:top w:val="threeDEmboss" w:sz="24" w:space="8" w:color="auto"/>
          <w:left w:val="threeDEmboss" w:sz="24" w:space="4" w:color="auto"/>
          <w:bottom w:val="threeDEmboss" w:sz="24" w:space="12" w:color="auto"/>
          <w:right w:val="threeDEmboss" w:sz="24" w:space="4" w:color="auto"/>
        </w:pBdr>
        <w:spacing w:before="0" w:after="120"/>
        <w:jc w:val="center"/>
      </w:pPr>
      <w:r>
        <w:rPr>
          <w:noProof/>
        </w:rPr>
        <mc:AlternateContent>
          <mc:Choice Requires="wps">
            <w:drawing>
              <wp:anchor distT="0" distB="0" distL="114300" distR="114300" simplePos="0" relativeHeight="251661312" behindDoc="0" locked="0" layoutInCell="1" allowOverlap="1" wp14:anchorId="0DE4C76F" wp14:editId="40E77A84">
                <wp:simplePos x="0" y="0"/>
                <wp:positionH relativeFrom="column">
                  <wp:posOffset>124460</wp:posOffset>
                </wp:positionH>
                <wp:positionV relativeFrom="paragraph">
                  <wp:posOffset>138853</wp:posOffset>
                </wp:positionV>
                <wp:extent cx="5829300" cy="0"/>
                <wp:effectExtent l="50800" t="25400" r="63500" b="101600"/>
                <wp:wrapNone/>
                <wp:docPr id="9" name="Straight Connector 9"/>
                <wp:cNvGraphicFramePr/>
                <a:graphic xmlns:a="http://schemas.openxmlformats.org/drawingml/2006/main">
                  <a:graphicData uri="http://schemas.microsoft.com/office/word/2010/wordprocessingShape">
                    <wps:wsp>
                      <wps:cNvCnPr/>
                      <wps:spPr>
                        <a:xfrm>
                          <a:off x="0" y="0"/>
                          <a:ext cx="5829300" cy="0"/>
                        </a:xfrm>
                        <a:prstGeom prst="line">
                          <a:avLst/>
                        </a:prstGeom>
                        <a:ln>
                          <a:solidFill>
                            <a:schemeClr val="tx1">
                              <a:lumMod val="65000"/>
                              <a:lumOff val="3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9"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pt,10.95pt" to="468.8pt,10.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" strokecolor="#5a5a5a [2109]" strokeweight="2pt">
                <v:shadow on="t" opacity="24903f" mv:blur="40000f" origin=",.5" offset="0,20000emu"/>
              </v:line>
            </w:pict>
          </mc:Fallback>
        </mc:AlternateContent>
      </w:r>
    </w:p>
    <w:p w14:paraId="01A85AFB" w14:textId="2B4DA989" w:rsidR="00FB1B59" w:rsidRDefault="009E633A" w:rsidP="00564DF0">
      <w:pPr>
        <w:pBdr>
          <w:top w:val="threeDEmboss" w:sz="24" w:space="8" w:color="auto"/>
          <w:left w:val="threeDEmboss" w:sz="24" w:space="4" w:color="auto"/>
          <w:bottom w:val="threeDEmboss" w:sz="24" w:space="12" w:color="auto"/>
          <w:right w:val="threeDEmboss" w:sz="24" w:space="4" w:color="auto"/>
        </w:pBdr>
        <w:spacing w:before="0" w:after="120"/>
        <w:jc w:val="center"/>
      </w:pPr>
      <w:r>
        <w:t xml:space="preserve">Koji Arai, Sam Barnum, </w:t>
      </w:r>
      <w:r w:rsidR="005F63D4">
        <w:t>P</w:t>
      </w:r>
      <w:r>
        <w:t>eter</w:t>
      </w:r>
      <w:r w:rsidR="005F63D4">
        <w:t xml:space="preserve"> Fritschel</w:t>
      </w:r>
      <w:r>
        <w:t>, Jeff Lewis, Sam Waldman</w:t>
      </w:r>
    </w:p>
    <w:p w14:paraId="32B6FAA5" w14:textId="77777777" w:rsidR="00FB1B59" w:rsidRDefault="00FB1B59" w:rsidP="00D546B5">
      <w:pPr>
        <w:pStyle w:val="PlainText"/>
        <w:spacing w:before="0"/>
      </w:pPr>
    </w:p>
    <w:p w14:paraId="0BF3075B" w14:textId="77777777" w:rsidR="00FB1B59" w:rsidRDefault="00FB1B59">
      <w:pPr>
        <w:pStyle w:val="PlainText"/>
        <w:spacing w:before="0"/>
        <w:jc w:val="center"/>
      </w:pPr>
    </w:p>
    <w:p w14:paraId="2113A43D" w14:textId="77777777" w:rsidR="00BA4D0D" w:rsidRDefault="00BA4D0D">
      <w:pPr>
        <w:pStyle w:val="PlainText"/>
        <w:spacing w:before="0"/>
        <w:jc w:val="center"/>
      </w:pPr>
    </w:p>
    <w:p w14:paraId="099078D4" w14:textId="77777777" w:rsidR="00BA4D0D" w:rsidRDefault="00BA4D0D">
      <w:pPr>
        <w:pStyle w:val="PlainText"/>
        <w:spacing w:before="0"/>
        <w:jc w:val="center"/>
      </w:pPr>
    </w:p>
    <w:p w14:paraId="06780721" w14:textId="77777777" w:rsidR="00BA4D0D" w:rsidRDefault="00BA4D0D">
      <w:pPr>
        <w:pStyle w:val="PlainText"/>
        <w:spacing w:before="0"/>
        <w:jc w:val="center"/>
      </w:pPr>
    </w:p>
    <w:p w14:paraId="45B6339C" w14:textId="77777777" w:rsidR="00BA4D0D" w:rsidRDefault="00BA4D0D">
      <w:pPr>
        <w:pStyle w:val="PlainText"/>
        <w:spacing w:before="0"/>
        <w:jc w:val="center"/>
      </w:pPr>
    </w:p>
    <w:p w14:paraId="79E6D178" w14:textId="77777777" w:rsidR="00BA4D0D" w:rsidRDefault="00BA4D0D">
      <w:pPr>
        <w:pStyle w:val="PlainText"/>
        <w:spacing w:before="0"/>
        <w:jc w:val="center"/>
      </w:pPr>
    </w:p>
    <w:p w14:paraId="26FED4B8" w14:textId="77777777" w:rsidR="00BA4D0D" w:rsidRDefault="00BA4D0D">
      <w:pPr>
        <w:pStyle w:val="PlainText"/>
        <w:spacing w:before="0"/>
        <w:jc w:val="center"/>
      </w:pPr>
    </w:p>
    <w:p w14:paraId="19334E85" w14:textId="77777777" w:rsidR="00BA4D0D" w:rsidRDefault="00BA4D0D">
      <w:pPr>
        <w:pStyle w:val="PlainText"/>
        <w:spacing w:before="0"/>
        <w:jc w:val="center"/>
      </w:pPr>
    </w:p>
    <w:p w14:paraId="056DF385" w14:textId="77777777" w:rsidR="00FB1B59" w:rsidRPr="00F60302" w:rsidRDefault="00FB1B59">
      <w:pPr>
        <w:pStyle w:val="PlainText"/>
        <w:spacing w:before="0"/>
        <w:jc w:val="center"/>
        <w:rPr>
          <w:rFonts w:asciiTheme="majorHAnsi" w:hAnsiTheme="majorHAnsi"/>
        </w:rPr>
      </w:pPr>
      <w:r w:rsidRPr="00F60302">
        <w:rPr>
          <w:rFonts w:asciiTheme="majorHAnsi" w:hAnsiTheme="majorHAnsi"/>
        </w:rPr>
        <w:t>This is an internal working note</w:t>
      </w:r>
    </w:p>
    <w:p w14:paraId="6623F767" w14:textId="298D9B23" w:rsidR="00FB1B59" w:rsidRDefault="00FB1B59">
      <w:pPr>
        <w:pStyle w:val="PlainText"/>
        <w:spacing w:before="0"/>
        <w:jc w:val="center"/>
      </w:pPr>
      <w:proofErr w:type="gramStart"/>
      <w:r w:rsidRPr="00F60302">
        <w:rPr>
          <w:rFonts w:asciiTheme="majorHAnsi" w:hAnsiTheme="majorHAnsi"/>
        </w:rPr>
        <w:t>of</w:t>
      </w:r>
      <w:proofErr w:type="gramEnd"/>
      <w:r w:rsidRPr="00F60302">
        <w:rPr>
          <w:rFonts w:asciiTheme="majorHAnsi" w:hAnsiTheme="majorHAnsi"/>
        </w:rPr>
        <w:t xml:space="preserve"> the LIGO Labor</w:t>
      </w:r>
      <w:r w:rsidR="00BA4D0D" w:rsidRPr="00F60302">
        <w:rPr>
          <w:rFonts w:asciiTheme="majorHAnsi" w:hAnsiTheme="majorHAnsi"/>
        </w:rPr>
        <w:t>atory</w:t>
      </w:r>
    </w:p>
    <w:p w14:paraId="0CD70C34" w14:textId="77777777" w:rsidR="00FB1B59" w:rsidRDefault="00FB1B59">
      <w:pPr>
        <w:pStyle w:val="PlainText"/>
        <w:spacing w:before="0"/>
        <w:jc w:val="left"/>
        <w:rPr>
          <w:sz w:val="28"/>
        </w:rPr>
      </w:pPr>
    </w:p>
    <w:p w14:paraId="3D237B79" w14:textId="77777777" w:rsidR="00DF0D9F" w:rsidRDefault="00DF0D9F">
      <w:pPr>
        <w:pStyle w:val="PlainText"/>
        <w:spacing w:before="0"/>
        <w:jc w:val="left"/>
        <w:rPr>
          <w:sz w:val="28"/>
        </w:rPr>
      </w:pPr>
    </w:p>
    <w:p w14:paraId="1544B1EB" w14:textId="77777777" w:rsidR="00DF0D9F" w:rsidRPr="00DF0D9F" w:rsidRDefault="00DF0D9F">
      <w:pPr>
        <w:pStyle w:val="PlainText"/>
        <w:spacing w:before="0"/>
        <w:jc w:val="left"/>
        <w:rPr>
          <w:sz w:val="28"/>
        </w:rPr>
      </w:pPr>
    </w:p>
    <w:tbl>
      <w:tblPr>
        <w:tblW w:w="0" w:type="auto"/>
        <w:jc w:val="center"/>
        <w:tblLook w:val="0000" w:firstRow="0" w:lastRow="0" w:firstColumn="0" w:lastColumn="0" w:noHBand="0" w:noVBand="0"/>
      </w:tblPr>
      <w:tblGrid>
        <w:gridCol w:w="4903"/>
      </w:tblGrid>
      <w:tr w:rsidR="00DF0D9F" w:rsidRPr="00DF0D9F" w14:paraId="385657E5" w14:textId="77777777" w:rsidTr="00DF0D9F">
        <w:trPr>
          <w:cantSplit/>
          <w:trHeight w:val="1296"/>
          <w:jc w:val="center"/>
        </w:trPr>
        <w:tc>
          <w:tcPr>
            <w:tcW w:w="4903" w:type="dxa"/>
          </w:tcPr>
          <w:p w14:paraId="30FBDBF1" w14:textId="77777777" w:rsidR="00DF0D9F" w:rsidRPr="00DF0D9F" w:rsidRDefault="00DF0D9F" w:rsidP="00F60302">
            <w:pPr>
              <w:pStyle w:val="PlainText"/>
              <w:spacing w:before="80"/>
              <w:jc w:val="center"/>
              <w:rPr>
                <w:rFonts w:asciiTheme="majorHAnsi" w:hAnsiTheme="majorHAnsi"/>
                <w:b/>
                <w:bCs/>
                <w:color w:val="808080"/>
                <w:sz w:val="28"/>
              </w:rPr>
            </w:pPr>
            <w:r w:rsidRPr="00DF0D9F">
              <w:rPr>
                <w:rFonts w:asciiTheme="majorHAnsi" w:hAnsiTheme="majorHAnsi"/>
                <w:b/>
                <w:bCs/>
                <w:color w:val="808080"/>
                <w:sz w:val="28"/>
              </w:rPr>
              <w:t>California Institute of Technology</w:t>
            </w:r>
          </w:p>
          <w:p w14:paraId="4BEBDE58" w14:textId="77777777" w:rsidR="00DF0D9F" w:rsidRPr="00DF0D9F" w:rsidRDefault="00DF0D9F" w:rsidP="00F60302">
            <w:pPr>
              <w:pStyle w:val="PlainText"/>
              <w:spacing w:before="80"/>
              <w:jc w:val="center"/>
              <w:rPr>
                <w:rFonts w:asciiTheme="majorHAnsi" w:hAnsiTheme="majorHAnsi"/>
                <w:b/>
                <w:bCs/>
                <w:color w:val="808080"/>
                <w:sz w:val="28"/>
              </w:rPr>
            </w:pPr>
            <w:r w:rsidRPr="00DF0D9F">
              <w:rPr>
                <w:rFonts w:asciiTheme="majorHAnsi" w:hAnsiTheme="majorHAnsi"/>
                <w:b/>
                <w:bCs/>
                <w:color w:val="808080"/>
                <w:sz w:val="28"/>
              </w:rPr>
              <w:t>Massachusetts Institute of Technology</w:t>
            </w:r>
          </w:p>
          <w:p w14:paraId="31A6EE87" w14:textId="77777777" w:rsidR="00DF0D9F" w:rsidRPr="00DF0D9F" w:rsidRDefault="00DF0D9F" w:rsidP="00F60302">
            <w:pPr>
              <w:pStyle w:val="PlainText"/>
              <w:spacing w:before="80"/>
              <w:jc w:val="center"/>
              <w:rPr>
                <w:rFonts w:asciiTheme="majorHAnsi" w:hAnsiTheme="majorHAnsi"/>
                <w:b/>
                <w:bCs/>
                <w:color w:val="808080"/>
                <w:sz w:val="28"/>
              </w:rPr>
            </w:pPr>
            <w:r w:rsidRPr="00DF0D9F">
              <w:rPr>
                <w:rFonts w:asciiTheme="majorHAnsi" w:hAnsiTheme="majorHAnsi"/>
                <w:b/>
                <w:bCs/>
                <w:color w:val="808080"/>
                <w:sz w:val="28"/>
              </w:rPr>
              <w:t>LIGO Hanford Observatory</w:t>
            </w:r>
          </w:p>
          <w:p w14:paraId="2A1D1B58" w14:textId="77777777" w:rsidR="00DF0D9F" w:rsidRPr="00DF0D9F" w:rsidRDefault="00DF0D9F" w:rsidP="00F60302">
            <w:pPr>
              <w:pStyle w:val="PlainText"/>
              <w:spacing w:before="80"/>
              <w:jc w:val="center"/>
              <w:rPr>
                <w:rFonts w:asciiTheme="majorHAnsi" w:hAnsiTheme="majorHAnsi"/>
                <w:b/>
                <w:bCs/>
                <w:color w:val="808080"/>
                <w:sz w:val="28"/>
              </w:rPr>
            </w:pPr>
            <w:r w:rsidRPr="00DF0D9F">
              <w:rPr>
                <w:rFonts w:asciiTheme="majorHAnsi" w:hAnsiTheme="majorHAnsi"/>
                <w:b/>
                <w:bCs/>
                <w:color w:val="808080"/>
                <w:sz w:val="28"/>
              </w:rPr>
              <w:t>LIGO Livingston Observatory</w:t>
            </w:r>
          </w:p>
          <w:p w14:paraId="6529A310" w14:textId="1DE35093" w:rsidR="00DF0D9F" w:rsidRPr="00DF0D9F" w:rsidRDefault="00DF0D9F" w:rsidP="00DF0D9F">
            <w:pPr>
              <w:pStyle w:val="PlainText"/>
              <w:spacing w:before="0"/>
              <w:rPr>
                <w:rFonts w:asciiTheme="majorHAnsi" w:hAnsiTheme="majorHAnsi"/>
                <w:color w:val="808080"/>
                <w:sz w:val="28"/>
              </w:rPr>
            </w:pPr>
          </w:p>
          <w:p w14:paraId="09617EAC" w14:textId="36752599" w:rsidR="00DF0D9F" w:rsidRPr="00DF0D9F" w:rsidRDefault="00DF0D9F" w:rsidP="00DF0D9F">
            <w:pPr>
              <w:pStyle w:val="PlainText"/>
              <w:spacing w:before="0"/>
              <w:jc w:val="center"/>
              <w:rPr>
                <w:rFonts w:asciiTheme="majorHAnsi" w:hAnsiTheme="majorHAnsi"/>
                <w:color w:val="808080"/>
                <w:sz w:val="28"/>
              </w:rPr>
            </w:pPr>
          </w:p>
        </w:tc>
      </w:tr>
      <w:tr w:rsidR="00DF0D9F" w14:paraId="433CD959" w14:textId="77777777" w:rsidTr="00DF0D9F">
        <w:trPr>
          <w:jc w:val="center"/>
        </w:trPr>
        <w:tc>
          <w:tcPr>
            <w:tcW w:w="4903" w:type="dxa"/>
          </w:tcPr>
          <w:p w14:paraId="3FEE89A6" w14:textId="77777777" w:rsidR="00DF0D9F" w:rsidRDefault="00DF0D9F" w:rsidP="00DF0D9F">
            <w:pPr>
              <w:pStyle w:val="PlainText"/>
              <w:spacing w:before="0"/>
              <w:rPr>
                <w:rFonts w:asciiTheme="majorHAnsi" w:hAnsiTheme="majorHAnsi"/>
                <w:b/>
                <w:bCs/>
                <w:color w:val="808080"/>
              </w:rPr>
            </w:pPr>
          </w:p>
          <w:p w14:paraId="34CE733F" w14:textId="39AED669" w:rsidR="00DF0D9F" w:rsidRPr="00DF0D9F" w:rsidRDefault="00DF0D9F">
            <w:pPr>
              <w:pStyle w:val="PlainText"/>
              <w:spacing w:before="0"/>
              <w:jc w:val="center"/>
              <w:rPr>
                <w:rFonts w:asciiTheme="majorHAnsi" w:hAnsiTheme="majorHAnsi"/>
                <w:b/>
                <w:bCs/>
                <w:color w:val="808080"/>
              </w:rPr>
            </w:pPr>
          </w:p>
        </w:tc>
      </w:tr>
    </w:tbl>
    <w:p w14:paraId="106AF3CA" w14:textId="77777777" w:rsidR="00FB1B59" w:rsidRPr="00F60302" w:rsidRDefault="00FB1B59">
      <w:pPr>
        <w:pStyle w:val="PlainText"/>
        <w:jc w:val="center"/>
        <w:rPr>
          <w:rFonts w:asciiTheme="majorHAnsi" w:hAnsiTheme="majorHAnsi"/>
        </w:rPr>
      </w:pPr>
      <w:r w:rsidRPr="00F60302">
        <w:rPr>
          <w:rFonts w:asciiTheme="majorHAnsi" w:hAnsiTheme="majorHAnsi"/>
        </w:rPr>
        <w:t>http://www.ligo.caltech.edu/</w:t>
      </w:r>
    </w:p>
    <w:p w14:paraId="721758A8" w14:textId="77777777" w:rsidR="00FB1B59" w:rsidRDefault="00FB1B59" w:rsidP="00624503">
      <w:pPr>
        <w:pStyle w:val="Heading1"/>
      </w:pPr>
      <w:r>
        <w:br w:type="page"/>
      </w:r>
      <w:r>
        <w:lastRenderedPageBreak/>
        <w:t>Introduction</w:t>
      </w:r>
    </w:p>
    <w:p w14:paraId="46D61C09" w14:textId="29793D30" w:rsidR="0026665A" w:rsidRPr="0026665A" w:rsidRDefault="0026665A" w:rsidP="0026665A">
      <w:r>
        <w:t xml:space="preserve">The Advanced LIGO Output Mode Cleaner (OMC) enables the DC </w:t>
      </w:r>
      <w:proofErr w:type="gramStart"/>
      <w:r>
        <w:t>readout sensing</w:t>
      </w:r>
      <w:proofErr w:type="gramEnd"/>
      <w:r>
        <w:t xml:space="preserve"> scheme of the interferometer’s differential arm length</w:t>
      </w:r>
      <w:r w:rsidR="00F203D3">
        <w:t xml:space="preserve"> (DARM)</w:t>
      </w:r>
      <w:r>
        <w:t xml:space="preserve">. The OMC is a short  (~1 m long) </w:t>
      </w:r>
      <w:proofErr w:type="spellStart"/>
      <w:r>
        <w:t>Fabry</w:t>
      </w:r>
      <w:proofErr w:type="spellEnd"/>
      <w:r>
        <w:t>-Perot cavity</w:t>
      </w:r>
      <w:r w:rsidR="00F203D3">
        <w:t>, used to filter out</w:t>
      </w:r>
      <w:r>
        <w:t xml:space="preserve"> the fundamental DC carrier mode and its audio frequency phase sidebands from the RF fields </w:t>
      </w:r>
      <w:r w:rsidR="00556744">
        <w:t>and higher order spatial modes.</w:t>
      </w:r>
      <w:r w:rsidR="00DF4682">
        <w:t xml:space="preserve"> Functionally, the OMC is positioned between the anti-symmetric output of the interferometer and the DC readout photodiodes (DCPDs) used for sensing DARM. Physically, t</w:t>
      </w:r>
      <w:r w:rsidR="004A06C8">
        <w:t xml:space="preserve">he OMC is located </w:t>
      </w:r>
      <w:r w:rsidR="00DF4682">
        <w:t xml:space="preserve">in the output vacuum chamber (HAM6), mounted </w:t>
      </w:r>
      <w:r w:rsidR="00A75578">
        <w:t xml:space="preserve">in a double suspension </w:t>
      </w:r>
      <w:r w:rsidR="00556744">
        <w:t>that</w:t>
      </w:r>
      <w:r w:rsidR="00A75578">
        <w:t xml:space="preserve"> sits </w:t>
      </w:r>
      <w:r w:rsidR="00DF4682">
        <w:t xml:space="preserve">on the </w:t>
      </w:r>
      <w:r w:rsidR="00A75578">
        <w:t xml:space="preserve">HAM-ISI </w:t>
      </w:r>
      <w:r w:rsidR="00DF4682">
        <w:t>single-stage active isola</w:t>
      </w:r>
      <w:r w:rsidR="00A75578">
        <w:t>tion platform.</w:t>
      </w:r>
      <w:r w:rsidR="00DF4682">
        <w:t xml:space="preserve"> </w:t>
      </w:r>
      <w:r>
        <w:t xml:space="preserve">The OMC </w:t>
      </w:r>
      <w:r w:rsidR="00F203D3" w:rsidRPr="004A06C8">
        <w:rPr>
          <w:i/>
        </w:rPr>
        <w:t>assembly</w:t>
      </w:r>
      <w:r w:rsidR="00F203D3">
        <w:t xml:space="preserve"> </w:t>
      </w:r>
      <w:r w:rsidR="004A06C8">
        <w:t>includes both the OMC and the DCPDs</w:t>
      </w:r>
      <w:r w:rsidR="007E2F7B">
        <w:t>.</w:t>
      </w:r>
    </w:p>
    <w:p w14:paraId="7389980F" w14:textId="67F68BA7" w:rsidR="00665F5D" w:rsidRDefault="00665F5D" w:rsidP="00624503">
      <w:pPr>
        <w:pStyle w:val="Heading1"/>
      </w:pPr>
      <w:r>
        <w:t>Design Overview</w:t>
      </w:r>
    </w:p>
    <w:p w14:paraId="009B7C27" w14:textId="4BDFB007" w:rsidR="00665F5D" w:rsidRDefault="00560034" w:rsidP="00665F5D">
      <w:r>
        <w:t>The OMC is designed as a rigid optical cavity</w:t>
      </w:r>
      <w:r w:rsidR="004A06C8">
        <w:t xml:space="preserve">, constructed in a 4-mirror bow-tie configuration </w:t>
      </w:r>
      <w:r w:rsidR="0024305B">
        <w:t xml:space="preserve">in order </w:t>
      </w:r>
      <w:r w:rsidR="004A06C8">
        <w:t>to reduce retro-reflection from the cavity. The cavity mirrors are bonded to a glass breadboard; the photodiodes used for the DC readout of the interferometer are a</w:t>
      </w:r>
      <w:r w:rsidR="00A84AF4">
        <w:t>l</w:t>
      </w:r>
      <w:r w:rsidR="0024305B">
        <w:t>so mounted to this breadboard to ensure</w:t>
      </w:r>
      <w:r w:rsidR="00A84AF4">
        <w:t xml:space="preserve"> that the beam pointing onto the DCPDs is extremely stable. </w:t>
      </w:r>
      <w:r w:rsidR="004A06C8">
        <w:t xml:space="preserve"> </w:t>
      </w:r>
      <w:r w:rsidR="0024305B">
        <w:t>Two quadrant photodiodes (QPDs) are also mounted on the glass breadboard, and a small fraction of the light incident on the OMC is directed to these QPDs to monitor and aid in the alignment of the incident beam to the cavity.</w:t>
      </w:r>
    </w:p>
    <w:p w14:paraId="68D8523E" w14:textId="414D3EFA" w:rsidR="0070076F" w:rsidRDefault="0070076F" w:rsidP="00665F5D">
      <w:r>
        <w:t xml:space="preserve">Two of the OMC cavity mirrors are mounted on PZTs for actuation and control of the cavity length. </w:t>
      </w:r>
      <w:r w:rsidR="00FE1B3D">
        <w:t>The OMC is locked to the interferometer beam with a dither scheme (modulation of the cavity length, demodulation of the transmitted light, feedback applied to the cavity length).</w:t>
      </w:r>
    </w:p>
    <w:p w14:paraId="1BC48FC9" w14:textId="66067F27" w:rsidR="007501FB" w:rsidRDefault="007501FB" w:rsidP="00665F5D">
      <w:r>
        <w:t>The OMC transmitted light is split 50-50 between two photodiodes. The use of two photodiodes provides the ability to characterize correlated and uncorrelated noises, allows higher OMC transmitted power (if necessary), and provides redundancy</w:t>
      </w:r>
      <w:r w:rsidR="00F141BC">
        <w:t>.</w:t>
      </w:r>
      <w:r>
        <w:t xml:space="preserve"> </w:t>
      </w:r>
    </w:p>
    <w:p w14:paraId="5ECCC785" w14:textId="27AB9DB7" w:rsidR="007501FB" w:rsidRPr="00665F5D" w:rsidRDefault="000A7DA1" w:rsidP="00665F5D">
      <w:r>
        <w:t xml:space="preserve">The OMC assembly—consisting of the glass breadboard, the cavity, and the DCPDs and QPDs—is mounted in a double-stage suspension for vibration isolation. </w:t>
      </w:r>
      <w:r w:rsidR="00F141BC">
        <w:t xml:space="preserve">The actively damped suspension also provides DC/slow control of the position of the OMC assembly. The preamplifiers for the DCPDs are mounted </w:t>
      </w:r>
      <w:r w:rsidR="00F85B0D">
        <w:t xml:space="preserve">at the top of the suspension structure, so that they are </w:t>
      </w:r>
      <w:r w:rsidR="00F141BC">
        <w:t>in close proximity to the diodes</w:t>
      </w:r>
      <w:r w:rsidR="00F85B0D">
        <w:t>. The preamps for the QPDs are mounted outside the vacuum chamber.</w:t>
      </w:r>
    </w:p>
    <w:p w14:paraId="1A6A067F" w14:textId="08A51D48" w:rsidR="00FB1B59" w:rsidRDefault="001929FE" w:rsidP="00624503">
      <w:pPr>
        <w:pStyle w:val="Heading1"/>
      </w:pPr>
      <w:r>
        <w:t>Cavity optical</w:t>
      </w:r>
      <w:r w:rsidR="00F203D3">
        <w:t xml:space="preserve"> design</w:t>
      </w:r>
    </w:p>
    <w:p w14:paraId="41624F50" w14:textId="5FCA753B" w:rsidR="00665F5D" w:rsidRDefault="006810C0" w:rsidP="00665F5D">
      <w:r>
        <w:t>The choice of cavity finesse is a trade-off between filtering of unwanted fields (high finesse) and transmission efficiency for the desired TEM</w:t>
      </w:r>
      <w:r>
        <w:rPr>
          <w:vertAlign w:val="subscript"/>
        </w:rPr>
        <w:t>00</w:t>
      </w:r>
      <w:r>
        <w:t xml:space="preserve"> mode (low finesse). </w:t>
      </w:r>
      <w:r w:rsidR="001B3F56">
        <w:t>We set a minim</w:t>
      </w:r>
      <w:r w:rsidR="0089402E">
        <w:t>um transmission efficiency of 98</w:t>
      </w:r>
      <w:r w:rsidR="001B3F56">
        <w:t xml:space="preserve">%, assuming </w:t>
      </w:r>
      <w:r w:rsidR="00153BB4">
        <w:t>total round trip loss of 140 ppm (10 ppm scatter loss per mirror, plus 50 ppm transmission for the high-reflectors)</w:t>
      </w:r>
      <w:r w:rsidR="001B3F56">
        <w:t xml:space="preserve">. </w:t>
      </w:r>
      <w:r w:rsidR="00153BB4">
        <w:t xml:space="preserve">The </w:t>
      </w:r>
      <w:r w:rsidR="001B3F56">
        <w:t xml:space="preserve">relation between resonant transmission, loss, and finesse is: </w:t>
      </w:r>
      <m:oMath>
        <m:sSub>
          <m:sSubPr>
            <m:ctrlPr>
              <w:rPr>
                <w:rFonts w:ascii="Cambria Math" w:hAnsi="Cambria Math"/>
                <w:i/>
              </w:rPr>
            </m:ctrlPr>
          </m:sSubPr>
          <m:e>
            <m:r>
              <w:rPr>
                <w:rFonts w:ascii="Cambria Math" w:hAnsi="Cambria Math"/>
              </w:rPr>
              <m:t>T</m:t>
            </m:r>
          </m:e>
          <m:sub>
            <m:r>
              <w:rPr>
                <w:rFonts w:ascii="Cambria Math" w:hAnsi="Cambria Math"/>
              </w:rPr>
              <m:t>FP</m:t>
            </m:r>
          </m:sub>
        </m:sSub>
        <m:r>
          <w:rPr>
            <w:rFonts w:ascii="Cambria Math" w:hAnsi="Cambria Math"/>
          </w:rPr>
          <m:t>≈1-</m:t>
        </m:r>
        <m:sSub>
          <m:sSubPr>
            <m:ctrlPr>
              <w:rPr>
                <w:rFonts w:ascii="Cambria Math" w:hAnsi="Cambria Math"/>
                <w:i/>
              </w:rPr>
            </m:ctrlPr>
          </m:sSubPr>
          <m:e>
            <m:r>
              <w:rPr>
                <w:rFonts w:ascii="Cambria Math" w:hAnsi="Cambria Math"/>
              </w:rPr>
              <m:t>L</m:t>
            </m:r>
          </m:e>
          <m:sub>
            <m:r>
              <w:rPr>
                <w:rFonts w:ascii="Cambria Math" w:hAnsi="Cambria Math"/>
              </w:rPr>
              <m:t>rt</m:t>
            </m:r>
          </m:sub>
        </m:sSub>
        <m:r>
          <w:rPr>
            <w:rFonts w:ascii="Cambria Math" w:hAnsi="Cambria Math"/>
          </w:rPr>
          <m:t>F/π</m:t>
        </m:r>
      </m:oMath>
      <w:r w:rsidR="001B3F56">
        <w:t xml:space="preserve">, where </w:t>
      </w:r>
      <w:proofErr w:type="spellStart"/>
      <w:r w:rsidR="001B3F56">
        <w:rPr>
          <w:i/>
        </w:rPr>
        <w:t>L</w:t>
      </w:r>
      <w:r w:rsidR="00153BB4">
        <w:rPr>
          <w:i/>
          <w:vertAlign w:val="subscript"/>
        </w:rPr>
        <w:t>rt</w:t>
      </w:r>
      <w:proofErr w:type="spellEnd"/>
      <w:r w:rsidR="001B3F56">
        <w:t xml:space="preserve"> is the</w:t>
      </w:r>
      <w:r w:rsidR="00153BB4">
        <w:t xml:space="preserve"> round trip</w:t>
      </w:r>
      <w:r w:rsidR="001B3F56">
        <w:t xml:space="preserve"> loss and </w:t>
      </w:r>
      <w:r w:rsidR="001B3F56">
        <w:rPr>
          <w:i/>
        </w:rPr>
        <w:t>F</w:t>
      </w:r>
      <w:r w:rsidR="0031624E">
        <w:t xml:space="preserve"> is the finesse. </w:t>
      </w:r>
      <w:r w:rsidR="001B3F56">
        <w:t xml:space="preserve">Then the condition </w:t>
      </w:r>
      <m:oMath>
        <m:sSub>
          <m:sSubPr>
            <m:ctrlPr>
              <w:rPr>
                <w:rFonts w:ascii="Cambria Math" w:hAnsi="Cambria Math"/>
                <w:i/>
              </w:rPr>
            </m:ctrlPr>
          </m:sSubPr>
          <m:e>
            <m:r>
              <w:rPr>
                <w:rFonts w:ascii="Cambria Math" w:hAnsi="Cambria Math"/>
              </w:rPr>
              <m:t>T</m:t>
            </m:r>
          </m:e>
          <m:sub>
            <m:r>
              <w:rPr>
                <w:rFonts w:ascii="Cambria Math" w:hAnsi="Cambria Math"/>
              </w:rPr>
              <m:t>FP</m:t>
            </m:r>
          </m:sub>
        </m:sSub>
        <m:r>
          <w:rPr>
            <w:rFonts w:ascii="Cambria Math" w:hAnsi="Cambria Math"/>
          </w:rPr>
          <m:t>≥0.9</m:t>
        </m:r>
        <m:r>
          <w:rPr>
            <w:rFonts w:ascii="Cambria Math" w:hAnsi="Cambria Math"/>
          </w:rPr>
          <m:t>8</m:t>
        </m:r>
      </m:oMath>
      <w:r w:rsidR="001B3F56">
        <w:t xml:space="preserve"> implies </w:t>
      </w:r>
      <m:oMath>
        <m:r>
          <w:rPr>
            <w:rFonts w:ascii="Cambria Math" w:hAnsi="Cambria Math"/>
          </w:rPr>
          <m:t>F</m:t>
        </m:r>
        <m:r>
          <w:rPr>
            <w:rFonts w:ascii="Cambria Math" w:hAnsi="Cambria Math"/>
          </w:rPr>
          <m:t>≤4</m:t>
        </m:r>
        <m:r>
          <w:rPr>
            <w:rFonts w:ascii="Cambria Math" w:hAnsi="Cambria Math"/>
          </w:rPr>
          <m:t>50</m:t>
        </m:r>
      </m:oMath>
      <w:r w:rsidR="001B3F56">
        <w:t xml:space="preserve">. To have a little more tolerance to loss, we have chosen a </w:t>
      </w:r>
      <w:r w:rsidR="001B3F56" w:rsidRPr="00175880">
        <w:rPr>
          <w:b/>
        </w:rPr>
        <w:t>finesse of 400</w:t>
      </w:r>
      <w:r w:rsidR="001B3F56">
        <w:t>.</w:t>
      </w:r>
    </w:p>
    <w:p w14:paraId="680B2A06" w14:textId="6B3A6E85" w:rsidR="00175880" w:rsidRPr="00CC42E1" w:rsidRDefault="00254D8D" w:rsidP="00665F5D">
      <w:pPr>
        <w:rPr>
          <w:i/>
        </w:rPr>
      </w:pPr>
      <w:r>
        <w:t xml:space="preserve">The other optical parameters that must be chosen together are </w:t>
      </w:r>
      <w:r w:rsidR="00DE29F9">
        <w:t xml:space="preserve">the cavity and cavity g-factor. </w:t>
      </w:r>
      <w:r w:rsidR="00DE29F9" w:rsidRPr="005748B7">
        <w:t xml:space="preserve">In general, these parameters should be determined </w:t>
      </w:r>
      <w:r w:rsidR="00DE29F9">
        <w:t>such</w:t>
      </w:r>
      <w:r w:rsidR="00DE29F9" w:rsidRPr="005748B7">
        <w:t xml:space="preserve"> that the filtering performance of the cavity is maximized. The </w:t>
      </w:r>
      <w:r w:rsidR="00DE29F9">
        <w:t xml:space="preserve">resulting </w:t>
      </w:r>
      <w:r w:rsidR="00DE29F9" w:rsidRPr="005748B7">
        <w:t>cavity parameters are listed in</w:t>
      </w:r>
      <w:r w:rsidR="00DE29F9">
        <w:t xml:space="preserve"> </w:t>
      </w:r>
      <w:r w:rsidR="00DE29F9">
        <w:fldChar w:fldCharType="begin"/>
      </w:r>
      <w:r w:rsidR="00DE29F9">
        <w:instrText xml:space="preserve"> REF _Ref220748895 \h </w:instrText>
      </w:r>
      <w:r w:rsidR="00DE29F9">
        <w:fldChar w:fldCharType="separate"/>
      </w:r>
      <w:r w:rsidR="00D42C52">
        <w:t xml:space="preserve">Table </w:t>
      </w:r>
      <w:r w:rsidR="00D42C52">
        <w:rPr>
          <w:noProof/>
        </w:rPr>
        <w:t>1</w:t>
      </w:r>
      <w:r w:rsidR="00DE29F9">
        <w:fldChar w:fldCharType="end"/>
      </w:r>
      <w:r w:rsidR="00DE29F9" w:rsidRPr="005748B7">
        <w:t>.</w:t>
      </w:r>
    </w:p>
    <w:p w14:paraId="2E98FE5E" w14:textId="74C181D2" w:rsidR="008B0519" w:rsidRDefault="008B0519" w:rsidP="008B0519">
      <w:pPr>
        <w:keepNext/>
      </w:pPr>
    </w:p>
    <w:p w14:paraId="50744717" w14:textId="77777777" w:rsidR="008B0519" w:rsidRDefault="008B0519" w:rsidP="00B671EC"/>
    <w:tbl>
      <w:tblPr>
        <w:tblStyle w:val="TableList3"/>
        <w:tblW w:w="7200" w:type="dxa"/>
        <w:jc w:val="center"/>
        <w:tblBorders>
          <w:insideH w:val="single" w:sz="2" w:space="0" w:color="auto"/>
          <w:insideV w:val="none" w:sz="0" w:space="0" w:color="auto"/>
        </w:tblBorders>
        <w:tblLook w:val="0480" w:firstRow="0" w:lastRow="0" w:firstColumn="1" w:lastColumn="0" w:noHBand="0" w:noVBand="1"/>
      </w:tblPr>
      <w:tblGrid>
        <w:gridCol w:w="3372"/>
        <w:gridCol w:w="3828"/>
      </w:tblGrid>
      <w:tr w:rsidR="001C04A4" w14:paraId="29D45F4F" w14:textId="77777777" w:rsidTr="001B5BDA">
        <w:trPr>
          <w:trHeight w:val="504"/>
          <w:jc w:val="center"/>
        </w:trPr>
        <w:tc>
          <w:tcPr>
            <w:tcW w:w="3035" w:type="dxa"/>
          </w:tcPr>
          <w:p w14:paraId="18CB9CCF" w14:textId="5A385064" w:rsidR="001C04A4" w:rsidRPr="001B5BDA" w:rsidRDefault="001B5BDA" w:rsidP="001B5BDA">
            <w:pPr>
              <w:jc w:val="left"/>
              <w:rPr>
                <w:rFonts w:asciiTheme="majorHAnsi" w:hAnsiTheme="majorHAnsi"/>
              </w:rPr>
            </w:pPr>
            <w:r w:rsidRPr="001B5BDA">
              <w:rPr>
                <w:rFonts w:asciiTheme="majorHAnsi" w:hAnsiTheme="majorHAnsi"/>
              </w:rPr>
              <w:t>Cavity round</w:t>
            </w:r>
            <w:r w:rsidR="001C04A4" w:rsidRPr="001B5BDA">
              <w:rPr>
                <w:rFonts w:asciiTheme="majorHAnsi" w:hAnsiTheme="majorHAnsi"/>
              </w:rPr>
              <w:t xml:space="preserve"> trip length</w:t>
            </w:r>
          </w:p>
        </w:tc>
        <w:tc>
          <w:tcPr>
            <w:tcW w:w="3445" w:type="dxa"/>
          </w:tcPr>
          <w:p w14:paraId="564B8258" w14:textId="26FC7BAD" w:rsidR="001C04A4" w:rsidRPr="001B5BDA" w:rsidRDefault="00C93D51" w:rsidP="001B5BDA">
            <w:pPr>
              <w:jc w:val="center"/>
              <w:rPr>
                <w:rFonts w:asciiTheme="majorHAnsi" w:hAnsiTheme="majorHAnsi"/>
              </w:rPr>
            </w:pPr>
            <w:r>
              <w:rPr>
                <w:rFonts w:asciiTheme="majorHAnsi" w:hAnsiTheme="majorHAnsi"/>
              </w:rPr>
              <w:t>1.132 m</w:t>
            </w:r>
          </w:p>
        </w:tc>
      </w:tr>
      <w:tr w:rsidR="001C04A4" w14:paraId="4E50410F" w14:textId="77777777" w:rsidTr="001B5BDA">
        <w:trPr>
          <w:trHeight w:val="504"/>
          <w:jc w:val="center"/>
        </w:trPr>
        <w:tc>
          <w:tcPr>
            <w:tcW w:w="3035" w:type="dxa"/>
          </w:tcPr>
          <w:p w14:paraId="53591E68" w14:textId="40689CDE" w:rsidR="001C04A4" w:rsidRPr="001B5BDA" w:rsidRDefault="001C04A4" w:rsidP="001B5BDA">
            <w:pPr>
              <w:jc w:val="left"/>
              <w:rPr>
                <w:rFonts w:asciiTheme="majorHAnsi" w:hAnsiTheme="majorHAnsi"/>
              </w:rPr>
            </w:pPr>
            <w:r w:rsidRPr="001B5BDA">
              <w:rPr>
                <w:rFonts w:asciiTheme="majorHAnsi" w:hAnsiTheme="majorHAnsi"/>
              </w:rPr>
              <w:t>Free spectral range</w:t>
            </w:r>
          </w:p>
        </w:tc>
        <w:tc>
          <w:tcPr>
            <w:tcW w:w="3445" w:type="dxa"/>
          </w:tcPr>
          <w:p w14:paraId="1CF06B47" w14:textId="3F2152B2" w:rsidR="001C04A4" w:rsidRPr="001B5BDA" w:rsidRDefault="00C93D51" w:rsidP="001B5BDA">
            <w:pPr>
              <w:jc w:val="center"/>
              <w:rPr>
                <w:rFonts w:asciiTheme="majorHAnsi" w:hAnsiTheme="majorHAnsi"/>
              </w:rPr>
            </w:pPr>
            <w:r>
              <w:rPr>
                <w:rFonts w:asciiTheme="majorHAnsi" w:hAnsiTheme="majorHAnsi"/>
              </w:rPr>
              <w:t>264.8 MHz</w:t>
            </w:r>
          </w:p>
        </w:tc>
      </w:tr>
      <w:tr w:rsidR="001C04A4" w14:paraId="73426508" w14:textId="77777777" w:rsidTr="001B5BDA">
        <w:trPr>
          <w:trHeight w:val="504"/>
          <w:jc w:val="center"/>
        </w:trPr>
        <w:tc>
          <w:tcPr>
            <w:tcW w:w="3035" w:type="dxa"/>
          </w:tcPr>
          <w:p w14:paraId="77DCB41D" w14:textId="05BF8248" w:rsidR="001C04A4" w:rsidRPr="001B5BDA" w:rsidRDefault="001C04A4" w:rsidP="001B5BDA">
            <w:pPr>
              <w:jc w:val="left"/>
              <w:rPr>
                <w:rFonts w:asciiTheme="majorHAnsi" w:hAnsiTheme="majorHAnsi"/>
              </w:rPr>
            </w:pPr>
            <w:r w:rsidRPr="001B5BDA">
              <w:rPr>
                <w:rFonts w:asciiTheme="majorHAnsi" w:hAnsiTheme="majorHAnsi"/>
              </w:rPr>
              <w:t>ROC of high-reflectors</w:t>
            </w:r>
          </w:p>
        </w:tc>
        <w:tc>
          <w:tcPr>
            <w:tcW w:w="3445" w:type="dxa"/>
          </w:tcPr>
          <w:p w14:paraId="59F05038" w14:textId="7D352EB7" w:rsidR="001C04A4" w:rsidRPr="001B5BDA" w:rsidRDefault="001B5BDA" w:rsidP="001B5BDA">
            <w:pPr>
              <w:spacing w:before="0"/>
              <w:jc w:val="center"/>
              <w:rPr>
                <w:rFonts w:asciiTheme="majorHAnsi" w:hAnsiTheme="majorHAnsi"/>
              </w:rPr>
            </w:pPr>
            <w:r>
              <w:rPr>
                <w:rFonts w:asciiTheme="majorHAnsi" w:hAnsiTheme="majorHAnsi"/>
              </w:rPr>
              <w:t xml:space="preserve">Spec: 2.5m; </w:t>
            </w:r>
            <w:proofErr w:type="spellStart"/>
            <w:r>
              <w:rPr>
                <w:rFonts w:asciiTheme="majorHAnsi" w:hAnsiTheme="majorHAnsi"/>
              </w:rPr>
              <w:t>Meas</w:t>
            </w:r>
            <w:proofErr w:type="spellEnd"/>
            <w:r>
              <w:rPr>
                <w:rFonts w:asciiTheme="majorHAnsi" w:hAnsiTheme="majorHAnsi"/>
              </w:rPr>
              <w:t>: 2.575 m</w:t>
            </w:r>
          </w:p>
        </w:tc>
      </w:tr>
      <w:tr w:rsidR="001C04A4" w14:paraId="7638E83B" w14:textId="77777777" w:rsidTr="001B5BDA">
        <w:trPr>
          <w:trHeight w:val="504"/>
          <w:jc w:val="center"/>
        </w:trPr>
        <w:tc>
          <w:tcPr>
            <w:tcW w:w="3035" w:type="dxa"/>
          </w:tcPr>
          <w:p w14:paraId="552AEB4D" w14:textId="30FB3348" w:rsidR="001C04A4" w:rsidRPr="001B5BDA" w:rsidRDefault="001C04A4" w:rsidP="001B5BDA">
            <w:pPr>
              <w:jc w:val="left"/>
              <w:rPr>
                <w:rFonts w:asciiTheme="majorHAnsi" w:hAnsiTheme="majorHAnsi"/>
              </w:rPr>
            </w:pPr>
            <w:proofErr w:type="gramStart"/>
            <w:r w:rsidRPr="001B5BDA">
              <w:rPr>
                <w:rFonts w:asciiTheme="majorHAnsi" w:hAnsiTheme="majorHAnsi"/>
              </w:rPr>
              <w:t>g</w:t>
            </w:r>
            <w:proofErr w:type="gramEnd"/>
            <w:r w:rsidRPr="001B5BDA">
              <w:rPr>
                <w:rFonts w:asciiTheme="majorHAnsi" w:hAnsiTheme="majorHAnsi"/>
              </w:rPr>
              <w:t>-parameter</w:t>
            </w:r>
          </w:p>
        </w:tc>
        <w:tc>
          <w:tcPr>
            <w:tcW w:w="3445" w:type="dxa"/>
          </w:tcPr>
          <w:p w14:paraId="6A91CB80" w14:textId="51D1DBE1" w:rsidR="001C04A4" w:rsidRPr="001B5BDA" w:rsidRDefault="00DE29F9" w:rsidP="001B5BDA">
            <w:pPr>
              <w:jc w:val="center"/>
              <w:rPr>
                <w:rFonts w:asciiTheme="majorHAnsi" w:hAnsiTheme="majorHAnsi"/>
              </w:rPr>
            </w:pPr>
            <w:r>
              <w:rPr>
                <w:rFonts w:asciiTheme="majorHAnsi" w:hAnsiTheme="majorHAnsi"/>
              </w:rPr>
              <w:t>0.7717 (hor.); 0.7729 (vert.)</w:t>
            </w:r>
          </w:p>
        </w:tc>
      </w:tr>
      <w:tr w:rsidR="00C93D51" w14:paraId="5963EF90" w14:textId="77777777" w:rsidTr="001B5BDA">
        <w:trPr>
          <w:trHeight w:val="504"/>
          <w:jc w:val="center"/>
        </w:trPr>
        <w:tc>
          <w:tcPr>
            <w:tcW w:w="3035" w:type="dxa"/>
          </w:tcPr>
          <w:p w14:paraId="719FB97E" w14:textId="69EA5E72" w:rsidR="00C93D51" w:rsidRPr="001B5BDA" w:rsidRDefault="00C93D51" w:rsidP="001B5BDA">
            <w:pPr>
              <w:jc w:val="left"/>
              <w:rPr>
                <w:rFonts w:asciiTheme="majorHAnsi" w:hAnsiTheme="majorHAnsi"/>
              </w:rPr>
            </w:pPr>
            <w:r>
              <w:rPr>
                <w:rFonts w:asciiTheme="majorHAnsi" w:hAnsiTheme="majorHAnsi"/>
              </w:rPr>
              <w:t>Higher order mode spacing</w:t>
            </w:r>
          </w:p>
        </w:tc>
        <w:tc>
          <w:tcPr>
            <w:tcW w:w="3445" w:type="dxa"/>
          </w:tcPr>
          <w:p w14:paraId="179C11CF" w14:textId="7AED388D" w:rsidR="00C93D51" w:rsidRPr="001B5BDA" w:rsidRDefault="00DE29F9" w:rsidP="001B5BDA">
            <w:pPr>
              <w:jc w:val="center"/>
              <w:rPr>
                <w:rFonts w:asciiTheme="majorHAnsi" w:hAnsiTheme="majorHAnsi"/>
              </w:rPr>
            </w:pPr>
            <w:r>
              <w:rPr>
                <w:rFonts w:asciiTheme="majorHAnsi" w:hAnsiTheme="majorHAnsi"/>
              </w:rPr>
              <w:t>57.95 MHz (h); 58.10 MHz (v)</w:t>
            </w:r>
          </w:p>
        </w:tc>
      </w:tr>
      <w:tr w:rsidR="001229F1" w14:paraId="16EE6683" w14:textId="77777777" w:rsidTr="001B5BDA">
        <w:trPr>
          <w:trHeight w:val="504"/>
          <w:jc w:val="center"/>
        </w:trPr>
        <w:tc>
          <w:tcPr>
            <w:tcW w:w="3035" w:type="dxa"/>
          </w:tcPr>
          <w:p w14:paraId="77054C08" w14:textId="0CF6EBBB" w:rsidR="001229F1" w:rsidRDefault="001229F1" w:rsidP="001B5BDA">
            <w:pPr>
              <w:jc w:val="left"/>
              <w:rPr>
                <w:rFonts w:asciiTheme="majorHAnsi" w:hAnsiTheme="majorHAnsi"/>
              </w:rPr>
            </w:pPr>
            <w:r>
              <w:rPr>
                <w:rFonts w:asciiTheme="majorHAnsi" w:hAnsiTheme="majorHAnsi"/>
              </w:rPr>
              <w:t>Angle of incidence on cavity mirrors</w:t>
            </w:r>
          </w:p>
        </w:tc>
        <w:tc>
          <w:tcPr>
            <w:tcW w:w="3445" w:type="dxa"/>
          </w:tcPr>
          <w:p w14:paraId="2142B38A" w14:textId="77BE0C0B" w:rsidR="001229F1" w:rsidRPr="001B5BDA" w:rsidRDefault="001229F1" w:rsidP="001B5BDA">
            <w:pPr>
              <w:jc w:val="center"/>
              <w:rPr>
                <w:rFonts w:asciiTheme="majorHAnsi" w:hAnsiTheme="majorHAnsi"/>
              </w:rPr>
            </w:pPr>
            <w:r>
              <w:rPr>
                <w:rFonts w:asciiTheme="majorHAnsi" w:hAnsiTheme="majorHAnsi"/>
              </w:rPr>
              <w:t>4 degrees</w:t>
            </w:r>
          </w:p>
        </w:tc>
      </w:tr>
      <w:tr w:rsidR="001229F1" w14:paraId="6C06DAD9" w14:textId="77777777" w:rsidTr="001B5BDA">
        <w:trPr>
          <w:trHeight w:val="504"/>
          <w:jc w:val="center"/>
        </w:trPr>
        <w:tc>
          <w:tcPr>
            <w:tcW w:w="3035" w:type="dxa"/>
          </w:tcPr>
          <w:p w14:paraId="1A53EC11" w14:textId="5E06B862" w:rsidR="001229F1" w:rsidRDefault="001229F1" w:rsidP="001B5BDA">
            <w:pPr>
              <w:jc w:val="left"/>
              <w:rPr>
                <w:rFonts w:asciiTheme="majorHAnsi" w:hAnsiTheme="majorHAnsi"/>
              </w:rPr>
            </w:pPr>
            <w:r>
              <w:rPr>
                <w:rFonts w:asciiTheme="majorHAnsi" w:hAnsiTheme="majorHAnsi"/>
              </w:rPr>
              <w:t>Polarization</w:t>
            </w:r>
          </w:p>
        </w:tc>
        <w:tc>
          <w:tcPr>
            <w:tcW w:w="3445" w:type="dxa"/>
          </w:tcPr>
          <w:p w14:paraId="2094156E" w14:textId="42DC63B0" w:rsidR="001229F1" w:rsidRDefault="001229F1" w:rsidP="001B5BDA">
            <w:pPr>
              <w:jc w:val="center"/>
              <w:rPr>
                <w:rFonts w:asciiTheme="majorHAnsi" w:hAnsiTheme="majorHAnsi"/>
              </w:rPr>
            </w:pPr>
            <w:proofErr w:type="gramStart"/>
            <w:r>
              <w:rPr>
                <w:rFonts w:asciiTheme="majorHAnsi" w:hAnsiTheme="majorHAnsi"/>
              </w:rPr>
              <w:t>p</w:t>
            </w:r>
            <w:proofErr w:type="gramEnd"/>
            <w:r>
              <w:rPr>
                <w:rFonts w:asciiTheme="majorHAnsi" w:hAnsiTheme="majorHAnsi"/>
              </w:rPr>
              <w:t>-pol/horizontal</w:t>
            </w:r>
          </w:p>
        </w:tc>
      </w:tr>
      <w:tr w:rsidR="001C04A4" w14:paraId="099A8131" w14:textId="77777777" w:rsidTr="001B5BDA">
        <w:trPr>
          <w:trHeight w:val="504"/>
          <w:jc w:val="center"/>
        </w:trPr>
        <w:tc>
          <w:tcPr>
            <w:tcW w:w="3035" w:type="dxa"/>
          </w:tcPr>
          <w:p w14:paraId="00320D82" w14:textId="68C9ADBE" w:rsidR="001C04A4" w:rsidRPr="001B5BDA" w:rsidRDefault="001C04A4" w:rsidP="001B5BDA">
            <w:pPr>
              <w:jc w:val="left"/>
              <w:rPr>
                <w:rFonts w:asciiTheme="majorHAnsi" w:hAnsiTheme="majorHAnsi"/>
              </w:rPr>
            </w:pPr>
            <w:r w:rsidRPr="001B5BDA">
              <w:rPr>
                <w:rFonts w:asciiTheme="majorHAnsi" w:hAnsiTheme="majorHAnsi"/>
              </w:rPr>
              <w:t>Input/output coupler transmission</w:t>
            </w:r>
          </w:p>
        </w:tc>
        <w:tc>
          <w:tcPr>
            <w:tcW w:w="3445" w:type="dxa"/>
          </w:tcPr>
          <w:p w14:paraId="1B3CE143" w14:textId="3E5A05B3" w:rsidR="001C04A4" w:rsidRPr="001B5BDA" w:rsidRDefault="001229F1" w:rsidP="001B5BDA">
            <w:pPr>
              <w:jc w:val="center"/>
              <w:rPr>
                <w:rFonts w:asciiTheme="majorHAnsi" w:hAnsiTheme="majorHAnsi"/>
              </w:rPr>
            </w:pPr>
            <w:r>
              <w:rPr>
                <w:rFonts w:asciiTheme="majorHAnsi" w:hAnsiTheme="majorHAnsi"/>
              </w:rPr>
              <w:t xml:space="preserve">Spec: 8300ppm; </w:t>
            </w:r>
            <w:proofErr w:type="spellStart"/>
            <w:r>
              <w:rPr>
                <w:rFonts w:asciiTheme="majorHAnsi" w:hAnsiTheme="majorHAnsi"/>
              </w:rPr>
              <w:t>Meas</w:t>
            </w:r>
            <w:proofErr w:type="spellEnd"/>
            <w:r>
              <w:rPr>
                <w:rFonts w:asciiTheme="majorHAnsi" w:hAnsiTheme="majorHAnsi"/>
              </w:rPr>
              <w:t>: 7930ppm</w:t>
            </w:r>
          </w:p>
        </w:tc>
      </w:tr>
      <w:tr w:rsidR="001C04A4" w14:paraId="098DF5EE" w14:textId="77777777" w:rsidTr="001B5BDA">
        <w:trPr>
          <w:trHeight w:val="504"/>
          <w:jc w:val="center"/>
        </w:trPr>
        <w:tc>
          <w:tcPr>
            <w:tcW w:w="3035" w:type="dxa"/>
          </w:tcPr>
          <w:p w14:paraId="075AD8FF" w14:textId="68846AB6" w:rsidR="001C04A4" w:rsidRPr="001B5BDA" w:rsidRDefault="001B5BDA" w:rsidP="001B5BDA">
            <w:pPr>
              <w:jc w:val="left"/>
              <w:rPr>
                <w:rFonts w:asciiTheme="majorHAnsi" w:hAnsiTheme="majorHAnsi"/>
              </w:rPr>
            </w:pPr>
            <w:r w:rsidRPr="001B5BDA">
              <w:rPr>
                <w:rFonts w:asciiTheme="majorHAnsi" w:hAnsiTheme="majorHAnsi"/>
              </w:rPr>
              <w:t>High-reflector transmission</w:t>
            </w:r>
          </w:p>
        </w:tc>
        <w:tc>
          <w:tcPr>
            <w:tcW w:w="3445" w:type="dxa"/>
          </w:tcPr>
          <w:p w14:paraId="434357D9" w14:textId="4FAFD0E4" w:rsidR="001C04A4" w:rsidRPr="001B5BDA" w:rsidRDefault="001229F1" w:rsidP="001B5BDA">
            <w:pPr>
              <w:jc w:val="center"/>
              <w:rPr>
                <w:rFonts w:asciiTheme="majorHAnsi" w:hAnsiTheme="majorHAnsi"/>
              </w:rPr>
            </w:pPr>
            <w:r>
              <w:rPr>
                <w:rFonts w:asciiTheme="majorHAnsi" w:hAnsiTheme="majorHAnsi"/>
              </w:rPr>
              <w:t xml:space="preserve">Spec: 50ppm; </w:t>
            </w:r>
            <w:proofErr w:type="spellStart"/>
            <w:r>
              <w:rPr>
                <w:rFonts w:asciiTheme="majorHAnsi" w:hAnsiTheme="majorHAnsi"/>
              </w:rPr>
              <w:t>Meas</w:t>
            </w:r>
            <w:proofErr w:type="spellEnd"/>
            <w:r>
              <w:rPr>
                <w:rFonts w:asciiTheme="majorHAnsi" w:hAnsiTheme="majorHAnsi"/>
              </w:rPr>
              <w:t>: 46-51ppm</w:t>
            </w:r>
          </w:p>
        </w:tc>
      </w:tr>
      <w:tr w:rsidR="001B5BDA" w14:paraId="47F628CF" w14:textId="77777777" w:rsidTr="001B5BDA">
        <w:trPr>
          <w:trHeight w:val="504"/>
          <w:jc w:val="center"/>
        </w:trPr>
        <w:tc>
          <w:tcPr>
            <w:tcW w:w="3035" w:type="dxa"/>
            <w:tcBorders>
              <w:bottom w:val="single" w:sz="2" w:space="0" w:color="auto"/>
            </w:tcBorders>
          </w:tcPr>
          <w:p w14:paraId="195AB6BF" w14:textId="7DA8482E" w:rsidR="001B5BDA" w:rsidRPr="001B5BDA" w:rsidRDefault="001B5BDA" w:rsidP="001B5BDA">
            <w:pPr>
              <w:jc w:val="left"/>
              <w:rPr>
                <w:rFonts w:asciiTheme="majorHAnsi" w:hAnsiTheme="majorHAnsi"/>
              </w:rPr>
            </w:pPr>
            <w:r w:rsidRPr="001B5BDA">
              <w:rPr>
                <w:rFonts w:asciiTheme="majorHAnsi" w:hAnsiTheme="majorHAnsi"/>
              </w:rPr>
              <w:t>Finesse</w:t>
            </w:r>
          </w:p>
        </w:tc>
        <w:tc>
          <w:tcPr>
            <w:tcW w:w="3445" w:type="dxa"/>
            <w:tcBorders>
              <w:bottom w:val="single" w:sz="2" w:space="0" w:color="auto"/>
            </w:tcBorders>
          </w:tcPr>
          <w:p w14:paraId="48217E46" w14:textId="72E4CEFD" w:rsidR="001B5BDA" w:rsidRPr="001B5BDA" w:rsidRDefault="00ED02BA" w:rsidP="001B5BDA">
            <w:pPr>
              <w:jc w:val="center"/>
              <w:rPr>
                <w:rFonts w:asciiTheme="majorHAnsi" w:hAnsiTheme="majorHAnsi"/>
              </w:rPr>
            </w:pPr>
            <w:r>
              <w:rPr>
                <w:rFonts w:asciiTheme="majorHAnsi" w:hAnsiTheme="majorHAnsi"/>
              </w:rPr>
              <w:t>39</w:t>
            </w:r>
            <w:r w:rsidR="00BA5A67">
              <w:rPr>
                <w:rFonts w:asciiTheme="majorHAnsi" w:hAnsiTheme="majorHAnsi"/>
              </w:rPr>
              <w:t>0</w:t>
            </w:r>
          </w:p>
        </w:tc>
      </w:tr>
      <w:tr w:rsidR="001B5BDA" w14:paraId="311DF97A" w14:textId="77777777" w:rsidTr="001B5BDA">
        <w:trPr>
          <w:trHeight w:val="432"/>
          <w:jc w:val="center"/>
        </w:trPr>
        <w:tc>
          <w:tcPr>
            <w:tcW w:w="3035" w:type="dxa"/>
            <w:tcBorders>
              <w:top w:val="single" w:sz="2" w:space="0" w:color="auto"/>
              <w:bottom w:val="nil"/>
            </w:tcBorders>
          </w:tcPr>
          <w:p w14:paraId="5CA0F52C" w14:textId="3625B8DE" w:rsidR="001B5BDA" w:rsidRPr="001B5BDA" w:rsidRDefault="001B5BDA" w:rsidP="001B5BDA">
            <w:pPr>
              <w:jc w:val="left"/>
              <w:rPr>
                <w:rFonts w:asciiTheme="majorHAnsi" w:hAnsiTheme="majorHAnsi"/>
              </w:rPr>
            </w:pPr>
            <w:r>
              <w:rPr>
                <w:rFonts w:asciiTheme="majorHAnsi" w:hAnsiTheme="majorHAnsi"/>
              </w:rPr>
              <w:t>Beam sizes (1/e</w:t>
            </w:r>
            <w:r>
              <w:rPr>
                <w:rFonts w:asciiTheme="majorHAnsi" w:hAnsiTheme="majorHAnsi"/>
                <w:vertAlign w:val="superscript"/>
              </w:rPr>
              <w:t>2</w:t>
            </w:r>
            <w:r>
              <w:rPr>
                <w:rFonts w:asciiTheme="majorHAnsi" w:hAnsiTheme="majorHAnsi"/>
              </w:rPr>
              <w:t xml:space="preserve"> radius)</w:t>
            </w:r>
          </w:p>
        </w:tc>
        <w:tc>
          <w:tcPr>
            <w:tcW w:w="3445" w:type="dxa"/>
            <w:tcBorders>
              <w:top w:val="single" w:sz="2" w:space="0" w:color="auto"/>
              <w:bottom w:val="nil"/>
            </w:tcBorders>
          </w:tcPr>
          <w:p w14:paraId="25EA85DB" w14:textId="77777777" w:rsidR="001B5BDA" w:rsidRPr="001B5BDA" w:rsidRDefault="001B5BDA" w:rsidP="001B5BDA">
            <w:pPr>
              <w:jc w:val="center"/>
              <w:rPr>
                <w:rFonts w:asciiTheme="majorHAnsi" w:hAnsiTheme="majorHAnsi"/>
              </w:rPr>
            </w:pPr>
          </w:p>
        </w:tc>
      </w:tr>
      <w:tr w:rsidR="001B5BDA" w14:paraId="47395615" w14:textId="77777777" w:rsidTr="001B5BDA">
        <w:trPr>
          <w:trHeight w:val="432"/>
          <w:jc w:val="center"/>
        </w:trPr>
        <w:tc>
          <w:tcPr>
            <w:tcW w:w="3035" w:type="dxa"/>
            <w:tcBorders>
              <w:top w:val="nil"/>
              <w:bottom w:val="nil"/>
            </w:tcBorders>
          </w:tcPr>
          <w:p w14:paraId="0864A1B0" w14:textId="1F348CC6" w:rsidR="001B5BDA" w:rsidRPr="001B5BDA" w:rsidRDefault="001B5BDA" w:rsidP="001B5BDA">
            <w:pPr>
              <w:ind w:left="720"/>
              <w:jc w:val="left"/>
              <w:rPr>
                <w:rFonts w:asciiTheme="majorHAnsi" w:hAnsiTheme="majorHAnsi"/>
              </w:rPr>
            </w:pPr>
            <w:r>
              <w:rPr>
                <w:rFonts w:asciiTheme="majorHAnsi" w:hAnsiTheme="majorHAnsi"/>
              </w:rPr>
              <w:t>In/out couplers</w:t>
            </w:r>
          </w:p>
        </w:tc>
        <w:tc>
          <w:tcPr>
            <w:tcW w:w="3445" w:type="dxa"/>
            <w:tcBorders>
              <w:top w:val="nil"/>
              <w:bottom w:val="nil"/>
            </w:tcBorders>
          </w:tcPr>
          <w:p w14:paraId="179B9895" w14:textId="799F760D" w:rsidR="001B5BDA" w:rsidRPr="001B5BDA" w:rsidRDefault="00DE29F9" w:rsidP="001B5BDA">
            <w:pPr>
              <w:jc w:val="center"/>
              <w:rPr>
                <w:rFonts w:asciiTheme="majorHAnsi" w:hAnsiTheme="majorHAnsi"/>
              </w:rPr>
            </w:pPr>
            <w:r>
              <w:rPr>
                <w:rFonts w:asciiTheme="majorHAnsi" w:hAnsiTheme="majorHAnsi"/>
              </w:rPr>
              <w:t>0.50 mm</w:t>
            </w:r>
          </w:p>
        </w:tc>
      </w:tr>
      <w:tr w:rsidR="001B5BDA" w14:paraId="78B8CFA1" w14:textId="77777777" w:rsidTr="001B5BDA">
        <w:trPr>
          <w:trHeight w:val="432"/>
          <w:jc w:val="center"/>
        </w:trPr>
        <w:tc>
          <w:tcPr>
            <w:tcW w:w="3035" w:type="dxa"/>
            <w:tcBorders>
              <w:top w:val="nil"/>
              <w:bottom w:val="nil"/>
            </w:tcBorders>
          </w:tcPr>
          <w:p w14:paraId="6B959EC0" w14:textId="426A0D26" w:rsidR="001B5BDA" w:rsidRDefault="001B5BDA" w:rsidP="001B5BDA">
            <w:pPr>
              <w:ind w:left="720"/>
              <w:jc w:val="left"/>
              <w:rPr>
                <w:rFonts w:asciiTheme="majorHAnsi" w:hAnsiTheme="majorHAnsi"/>
              </w:rPr>
            </w:pPr>
            <w:r>
              <w:rPr>
                <w:rFonts w:asciiTheme="majorHAnsi" w:hAnsiTheme="majorHAnsi"/>
              </w:rPr>
              <w:t>Curved (HR) mirrors</w:t>
            </w:r>
          </w:p>
        </w:tc>
        <w:tc>
          <w:tcPr>
            <w:tcW w:w="3445" w:type="dxa"/>
            <w:tcBorders>
              <w:top w:val="nil"/>
              <w:bottom w:val="nil"/>
            </w:tcBorders>
          </w:tcPr>
          <w:p w14:paraId="65F81133" w14:textId="7580C23C" w:rsidR="001B5BDA" w:rsidRPr="001B5BDA" w:rsidRDefault="00DE29F9" w:rsidP="001B5BDA">
            <w:pPr>
              <w:jc w:val="center"/>
              <w:rPr>
                <w:rFonts w:asciiTheme="majorHAnsi" w:hAnsiTheme="majorHAnsi"/>
              </w:rPr>
            </w:pPr>
            <w:r>
              <w:rPr>
                <w:rFonts w:asciiTheme="majorHAnsi" w:hAnsiTheme="majorHAnsi"/>
              </w:rPr>
              <w:t>0.57 mm</w:t>
            </w:r>
          </w:p>
        </w:tc>
      </w:tr>
      <w:tr w:rsidR="001B5BDA" w14:paraId="7DFEC226" w14:textId="77777777" w:rsidTr="001B5BDA">
        <w:trPr>
          <w:trHeight w:val="432"/>
          <w:jc w:val="center"/>
        </w:trPr>
        <w:tc>
          <w:tcPr>
            <w:tcW w:w="3035" w:type="dxa"/>
            <w:tcBorders>
              <w:top w:val="nil"/>
              <w:bottom w:val="nil"/>
            </w:tcBorders>
          </w:tcPr>
          <w:p w14:paraId="5A716651" w14:textId="73DBD858" w:rsidR="001B5BDA" w:rsidRDefault="001B5BDA" w:rsidP="001B5BDA">
            <w:pPr>
              <w:ind w:left="720"/>
              <w:jc w:val="left"/>
              <w:rPr>
                <w:rFonts w:asciiTheme="majorHAnsi" w:hAnsiTheme="majorHAnsi"/>
              </w:rPr>
            </w:pPr>
            <w:r>
              <w:rPr>
                <w:rFonts w:asciiTheme="majorHAnsi" w:hAnsiTheme="majorHAnsi"/>
              </w:rPr>
              <w:t>DC PDs</w:t>
            </w:r>
          </w:p>
        </w:tc>
        <w:tc>
          <w:tcPr>
            <w:tcW w:w="3445" w:type="dxa"/>
            <w:tcBorders>
              <w:top w:val="nil"/>
              <w:bottom w:val="nil"/>
            </w:tcBorders>
          </w:tcPr>
          <w:p w14:paraId="4B6F0AD1" w14:textId="756C4E5E" w:rsidR="001B5BDA" w:rsidRPr="001B5BDA" w:rsidRDefault="00ED02BA" w:rsidP="001B5BDA">
            <w:pPr>
              <w:jc w:val="center"/>
              <w:rPr>
                <w:rFonts w:asciiTheme="majorHAnsi" w:hAnsiTheme="majorHAnsi"/>
              </w:rPr>
            </w:pPr>
            <w:r>
              <w:rPr>
                <w:rFonts w:asciiTheme="majorHAnsi" w:hAnsiTheme="majorHAnsi"/>
              </w:rPr>
              <w:t>0.52 mm</w:t>
            </w:r>
          </w:p>
        </w:tc>
      </w:tr>
      <w:tr w:rsidR="001B5BDA" w14:paraId="6DFBF0E7" w14:textId="77777777" w:rsidTr="001B5BDA">
        <w:trPr>
          <w:trHeight w:val="432"/>
          <w:jc w:val="center"/>
        </w:trPr>
        <w:tc>
          <w:tcPr>
            <w:tcW w:w="3035" w:type="dxa"/>
            <w:tcBorders>
              <w:top w:val="nil"/>
            </w:tcBorders>
          </w:tcPr>
          <w:p w14:paraId="2642B0DF" w14:textId="5707696D" w:rsidR="001B5BDA" w:rsidRDefault="001B5BDA" w:rsidP="001B5BDA">
            <w:pPr>
              <w:ind w:left="720"/>
              <w:jc w:val="left"/>
              <w:rPr>
                <w:rFonts w:asciiTheme="majorHAnsi" w:hAnsiTheme="majorHAnsi"/>
              </w:rPr>
            </w:pPr>
            <w:r>
              <w:rPr>
                <w:rFonts w:asciiTheme="majorHAnsi" w:hAnsiTheme="majorHAnsi"/>
              </w:rPr>
              <w:t>QPD</w:t>
            </w:r>
            <w:r w:rsidR="00C93D51">
              <w:rPr>
                <w:rFonts w:asciiTheme="majorHAnsi" w:hAnsiTheme="majorHAnsi"/>
              </w:rPr>
              <w:t>s</w:t>
            </w:r>
            <w:r w:rsidR="00ED02BA">
              <w:rPr>
                <w:rFonts w:asciiTheme="majorHAnsi" w:hAnsiTheme="majorHAnsi"/>
              </w:rPr>
              <w:t xml:space="preserve"> (radius/</w:t>
            </w:r>
            <w:proofErr w:type="spellStart"/>
            <w:r w:rsidR="00ED02BA">
              <w:rPr>
                <w:rFonts w:asciiTheme="majorHAnsi" w:hAnsiTheme="majorHAnsi"/>
              </w:rPr>
              <w:t>Gouy</w:t>
            </w:r>
            <w:proofErr w:type="spellEnd"/>
            <w:r w:rsidR="00ED02BA">
              <w:rPr>
                <w:rFonts w:asciiTheme="majorHAnsi" w:hAnsiTheme="majorHAnsi"/>
              </w:rPr>
              <w:t xml:space="preserve"> phase)</w:t>
            </w:r>
          </w:p>
        </w:tc>
        <w:tc>
          <w:tcPr>
            <w:tcW w:w="3445" w:type="dxa"/>
            <w:tcBorders>
              <w:top w:val="nil"/>
            </w:tcBorders>
          </w:tcPr>
          <w:p w14:paraId="7212EFCD" w14:textId="77777777" w:rsidR="001B5BDA" w:rsidRDefault="00ED02BA" w:rsidP="001B5BDA">
            <w:pPr>
              <w:jc w:val="center"/>
              <w:rPr>
                <w:rFonts w:asciiTheme="majorHAnsi" w:hAnsiTheme="majorHAnsi"/>
              </w:rPr>
            </w:pPr>
            <w:r>
              <w:rPr>
                <w:rFonts w:asciiTheme="majorHAnsi" w:hAnsiTheme="majorHAnsi"/>
              </w:rPr>
              <w:t xml:space="preserve">0.41 mm/4.1 </w:t>
            </w:r>
            <w:proofErr w:type="spellStart"/>
            <w:r>
              <w:rPr>
                <w:rFonts w:asciiTheme="majorHAnsi" w:hAnsiTheme="majorHAnsi"/>
              </w:rPr>
              <w:t>deg</w:t>
            </w:r>
            <w:proofErr w:type="spellEnd"/>
          </w:p>
          <w:p w14:paraId="67882B8F" w14:textId="5B867173" w:rsidR="00ED02BA" w:rsidRPr="001B5BDA" w:rsidRDefault="00ED02BA" w:rsidP="00BA5A67">
            <w:pPr>
              <w:keepNext/>
              <w:jc w:val="center"/>
              <w:rPr>
                <w:rFonts w:asciiTheme="majorHAnsi" w:hAnsiTheme="majorHAnsi"/>
              </w:rPr>
            </w:pPr>
            <w:r>
              <w:rPr>
                <w:rFonts w:asciiTheme="majorHAnsi" w:hAnsiTheme="majorHAnsi"/>
              </w:rPr>
              <w:t xml:space="preserve">0.60 mm/35 </w:t>
            </w:r>
            <w:proofErr w:type="spellStart"/>
            <w:r>
              <w:rPr>
                <w:rFonts w:asciiTheme="majorHAnsi" w:hAnsiTheme="majorHAnsi"/>
              </w:rPr>
              <w:t>deg</w:t>
            </w:r>
            <w:proofErr w:type="spellEnd"/>
          </w:p>
        </w:tc>
      </w:tr>
    </w:tbl>
    <w:p w14:paraId="64154C6F" w14:textId="2B24633E" w:rsidR="00B671EC" w:rsidRDefault="00BA5A67" w:rsidP="00BA5A67">
      <w:pPr>
        <w:pStyle w:val="Caption"/>
        <w:jc w:val="center"/>
        <w:rPr>
          <w:b w:val="0"/>
          <w:sz w:val="22"/>
        </w:rPr>
      </w:pPr>
      <w:bookmarkStart w:id="0" w:name="_Ref220748895"/>
      <w:proofErr w:type="gramStart"/>
      <w:r>
        <w:t xml:space="preserve">Table </w:t>
      </w:r>
      <w:proofErr w:type="gramEnd"/>
      <w:r w:rsidR="00E15170">
        <w:fldChar w:fldCharType="begin"/>
      </w:r>
      <w:r w:rsidR="00E15170">
        <w:instrText xml:space="preserve"> SEQ Table \* ARABIC </w:instrText>
      </w:r>
      <w:r w:rsidR="00E15170">
        <w:fldChar w:fldCharType="separate"/>
      </w:r>
      <w:r w:rsidR="00D42C52">
        <w:rPr>
          <w:noProof/>
        </w:rPr>
        <w:t>1</w:t>
      </w:r>
      <w:r w:rsidR="00E15170">
        <w:fldChar w:fldCharType="end"/>
      </w:r>
      <w:bookmarkEnd w:id="0"/>
      <w:proofErr w:type="gramStart"/>
      <w:r>
        <w:t>.</w:t>
      </w:r>
      <w:proofErr w:type="gramEnd"/>
      <w:r>
        <w:rPr>
          <w:b w:val="0"/>
          <w:sz w:val="22"/>
        </w:rPr>
        <w:t xml:space="preserve"> Parameters of the OMC cavity design.</w:t>
      </w:r>
    </w:p>
    <w:p w14:paraId="3BAEE1F9" w14:textId="77777777" w:rsidR="00DE29F9" w:rsidRDefault="00DE29F9" w:rsidP="00DE29F9"/>
    <w:p w14:paraId="60AF75CA" w14:textId="4D2DB95C" w:rsidR="00DE29F9" w:rsidRDefault="00DE29F9" w:rsidP="00DE29F9">
      <w:r>
        <w:t>The</w:t>
      </w:r>
      <w:r w:rsidRPr="005748B7">
        <w:t xml:space="preserve"> radius</w:t>
      </w:r>
      <w:r>
        <w:t>-of-curvature (</w:t>
      </w:r>
      <w:proofErr w:type="spellStart"/>
      <w:r>
        <w:t>RoC</w:t>
      </w:r>
      <w:proofErr w:type="spellEnd"/>
      <w:r>
        <w:t>)</w:t>
      </w:r>
      <w:r w:rsidRPr="005748B7">
        <w:t xml:space="preserve"> of the OMC curved mirrors is specified to be 2.5 m. This number was decided based on the calculation of frequency spacing between undesirable modes and the main carrier resonance. This calculation is described </w:t>
      </w:r>
      <w:r>
        <w:t xml:space="preserve">in detail </w:t>
      </w:r>
      <w:r w:rsidRPr="005748B7">
        <w:t xml:space="preserve">in the technical note T1000276. The actual curvatures of the delivered mirrors were characterized with the transverse mode spacing of a FP cavity formed by the OMC curved and flat mirrors. The </w:t>
      </w:r>
      <w:r>
        <w:t xml:space="preserve">average </w:t>
      </w:r>
      <w:proofErr w:type="spellStart"/>
      <w:r>
        <w:t>RoC</w:t>
      </w:r>
      <w:proofErr w:type="spellEnd"/>
      <w:r w:rsidRPr="005748B7">
        <w:t xml:space="preserve"> of the </w:t>
      </w:r>
      <w:r>
        <w:t>6 mirrors was</w:t>
      </w:r>
      <w:r w:rsidRPr="005748B7">
        <w:t xml:space="preserve"> measured to be </w:t>
      </w:r>
      <m:oMath>
        <m:r>
          <w:rPr>
            <w:rFonts w:ascii="Cambria Math" w:hAnsi="Cambria Math"/>
          </w:rPr>
          <m:t xml:space="preserve">2.575±0.005 </m:t>
        </m:r>
        <m:r>
          <m:rPr>
            <m:nor/>
          </m:rPr>
          <w:rPr>
            <w:rFonts w:ascii="Cambria Math" w:hAnsi="Cambria Math"/>
          </w:rPr>
          <m:t>m</m:t>
        </m:r>
      </m:oMath>
      <w:r w:rsidRPr="005748B7">
        <w:t xml:space="preserve"> after removing a couple of outlie</w:t>
      </w:r>
      <w:r>
        <w:t>rs.</w:t>
      </w:r>
    </w:p>
    <w:p w14:paraId="5B9FAE09" w14:textId="1083397C" w:rsidR="00BB5AAF" w:rsidRPr="002F0E13" w:rsidRDefault="00DE29F9" w:rsidP="00DE29F9">
      <w:r w:rsidRPr="005748B7">
        <w:t xml:space="preserve">For the </w:t>
      </w:r>
      <w:r>
        <w:t xml:space="preserve">further </w:t>
      </w:r>
      <w:r w:rsidRPr="005748B7">
        <w:t xml:space="preserve">optimization of the cavity length, a power-law model of the higher-order mode </w:t>
      </w:r>
      <w:r w:rsidR="00BB5AAF">
        <w:t xml:space="preserve">(HOM) </w:t>
      </w:r>
      <w:r w:rsidRPr="005748B7">
        <w:t xml:space="preserve">content at the dark port was used. </w:t>
      </w:r>
      <w:r w:rsidR="00BB5AAF">
        <w:t xml:space="preserve">The model was derived from measurements on the </w:t>
      </w:r>
      <w:proofErr w:type="spellStart"/>
      <w:r w:rsidR="00BB5AAF">
        <w:t>eLIGO</w:t>
      </w:r>
      <w:proofErr w:type="spellEnd"/>
      <w:r w:rsidR="00BB5AAF">
        <w:t xml:space="preserve"> interferometers, where the OMCs were scanned to measure the HOM content. The </w:t>
      </w:r>
      <w:r w:rsidR="002F0E13">
        <w:t>details of the HOM model are found in G1201111. In addition there is TEM</w:t>
      </w:r>
      <w:r w:rsidR="002F0E13">
        <w:rPr>
          <w:vertAlign w:val="subscript"/>
        </w:rPr>
        <w:t xml:space="preserve">00 </w:t>
      </w:r>
      <w:r w:rsidR="002F0E13">
        <w:t xml:space="preserve">mode power from the RF </w:t>
      </w:r>
      <w:r w:rsidR="002F0E13">
        <w:lastRenderedPageBreak/>
        <w:t>sidebands, primarily the 45 MHz sidebands. All of these field components are included in a calculation of the power transmitted by the OMC cavity, as a function of the cavity g-parameter.</w:t>
      </w:r>
    </w:p>
    <w:p w14:paraId="235464A4" w14:textId="36DC4898" w:rsidR="00DE29F9" w:rsidRPr="005748B7" w:rsidRDefault="005E6F63" w:rsidP="00DE29F9">
      <w:r>
        <w:t xml:space="preserve">For the measured curved mirror </w:t>
      </w:r>
      <w:proofErr w:type="spellStart"/>
      <w:r>
        <w:t>RoC</w:t>
      </w:r>
      <w:proofErr w:type="spellEnd"/>
      <w:r>
        <w:t xml:space="preserve">, a minimum </w:t>
      </w:r>
      <w:r w:rsidR="002F0E13">
        <w:t>in the</w:t>
      </w:r>
      <w:r>
        <w:t xml:space="preserve"> transmissio</w:t>
      </w:r>
      <w:r w:rsidR="00E8575B">
        <w:t>n</w:t>
      </w:r>
      <w:r w:rsidR="002F0E13">
        <w:t xml:space="preserve"> of HOMs and RF SBs</w:t>
      </w:r>
      <w:r w:rsidR="00E8575B">
        <w:t xml:space="preserve"> occurs at a cavit</w:t>
      </w:r>
      <w:r>
        <w:t>y length of</w:t>
      </w:r>
      <w:r w:rsidR="00DE29F9" w:rsidRPr="005748B7">
        <w:t xml:space="preserve"> </w:t>
      </w:r>
      <m:oMath>
        <m:r>
          <w:rPr>
            <w:rFonts w:ascii="Cambria Math" w:hAnsi="Cambria Math"/>
          </w:rPr>
          <m:t xml:space="preserve">1.132±0.005 </m:t>
        </m:r>
        <m:r>
          <m:rPr>
            <m:nor/>
          </m:rPr>
          <w:rPr>
            <w:rFonts w:ascii="Cambria Math" w:hAnsi="Cambria Math"/>
          </w:rPr>
          <m:t>m</m:t>
        </m:r>
      </m:oMath>
      <w:r w:rsidR="00DE29F9">
        <w:t xml:space="preserve">. </w:t>
      </w:r>
      <w:r>
        <w:t>At this point</w:t>
      </w:r>
      <w:r w:rsidR="00DE29F9" w:rsidRPr="005748B7">
        <w:t xml:space="preserve">, the transmission of the undesirable modes </w:t>
      </w:r>
      <w:r>
        <w:t>is</w:t>
      </w:r>
      <w:r w:rsidR="00DE29F9" w:rsidRPr="005748B7">
        <w:t xml:space="preserve"> expected to be </w:t>
      </w:r>
      <m:oMath>
        <m:sSup>
          <m:sSupPr>
            <m:ctrlPr>
              <w:rPr>
                <w:rFonts w:ascii="Cambria Math" w:hAnsi="Cambria Math"/>
                <w:i/>
              </w:rPr>
            </m:ctrlPr>
          </m:sSupPr>
          <m:e>
            <m:r>
              <w:rPr>
                <w:rFonts w:ascii="Cambria Math" w:hAnsi="Cambria Math"/>
              </w:rPr>
              <m:t>10</m:t>
            </m:r>
          </m:e>
          <m:sup>
            <m:r>
              <w:rPr>
                <w:rFonts w:ascii="Cambria Math" w:hAnsi="Cambria Math"/>
              </w:rPr>
              <m:t>-5</m:t>
            </m:r>
          </m:sup>
        </m:sSup>
      </m:oMath>
      <w:r>
        <w:t xml:space="preserve"> W/W,</w:t>
      </w:r>
      <w:r w:rsidR="002F0E13">
        <w:t xml:space="preserve"> relative to the</w:t>
      </w:r>
      <w:r w:rsidR="00DE29F9" w:rsidRPr="005748B7">
        <w:t xml:space="preserve"> power </w:t>
      </w:r>
      <w:r w:rsidR="002F0E13">
        <w:t xml:space="preserve">incident </w:t>
      </w:r>
      <w:r w:rsidR="00DE29F9" w:rsidRPr="005748B7">
        <w:t xml:space="preserve">on the interferometer. Therefore </w:t>
      </w:r>
      <w:r w:rsidR="00DE29F9">
        <w:t xml:space="preserve">only </w:t>
      </w:r>
      <w:r w:rsidR="00DE29F9" w:rsidRPr="005748B7">
        <w:t xml:space="preserve">1mW of </w:t>
      </w:r>
      <w:r w:rsidR="002F0E13">
        <w:t>the</w:t>
      </w:r>
      <w:r w:rsidR="00DE29F9" w:rsidRPr="005748B7">
        <w:t xml:space="preserve"> </w:t>
      </w:r>
      <w:r w:rsidR="00DE29F9">
        <w:t>undesirable modes</w:t>
      </w:r>
      <w:r w:rsidR="00DE29F9" w:rsidRPr="005748B7">
        <w:t xml:space="preserve"> is expected for </w:t>
      </w:r>
      <w:r w:rsidR="002F0E13">
        <w:t>an incident power of 100W</w:t>
      </w:r>
      <w:r w:rsidR="00DE29F9" w:rsidRPr="005748B7">
        <w:t xml:space="preserve">. </w:t>
      </w:r>
      <w:r w:rsidR="002F0E13">
        <w:t>D</w:t>
      </w:r>
      <w:r w:rsidR="00DE29F9" w:rsidRPr="005748B7">
        <w:t>etail</w:t>
      </w:r>
      <w:r w:rsidR="002F0E13">
        <w:t>s</w:t>
      </w:r>
      <w:r w:rsidR="00DE29F9" w:rsidRPr="005748B7">
        <w:t xml:space="preserve"> of the calculation </w:t>
      </w:r>
      <w:r w:rsidR="002F0E13">
        <w:t>are presented in G120111</w:t>
      </w:r>
      <w:r w:rsidR="00DE29F9" w:rsidRPr="005748B7">
        <w:t xml:space="preserve">. </w:t>
      </w:r>
    </w:p>
    <w:p w14:paraId="2B30EC1B" w14:textId="18919BD3" w:rsidR="00DE29F9" w:rsidRPr="00D572EF" w:rsidRDefault="00E8575B" w:rsidP="00DE29F9">
      <w:r>
        <w:t>T</w:t>
      </w:r>
      <w:r w:rsidR="00DE29F9" w:rsidRPr="005748B7">
        <w:t xml:space="preserve">he </w:t>
      </w:r>
      <w:r>
        <w:t xml:space="preserve">non-zero </w:t>
      </w:r>
      <w:r w:rsidR="00DE29F9">
        <w:t>angle of incidence (</w:t>
      </w:r>
      <m:oMath>
        <m:sSub>
          <m:sSubPr>
            <m:ctrlPr>
              <w:rPr>
                <w:rFonts w:ascii="Cambria Math" w:hAnsi="Cambria Math"/>
                <w:i/>
              </w:rPr>
            </m:ctrlPr>
          </m:sSubPr>
          <m:e>
            <m:r>
              <w:rPr>
                <w:rFonts w:ascii="Cambria Math" w:hAnsi="Cambria Math"/>
              </w:rPr>
              <m:t>θ</m:t>
            </m:r>
          </m:e>
          <m:sub>
            <m:r>
              <w:rPr>
                <w:rFonts w:ascii="Cambria Math" w:hAnsi="Cambria Math"/>
              </w:rPr>
              <m:t>AOI</m:t>
            </m:r>
          </m:sub>
        </m:sSub>
      </m:oMath>
      <w:r>
        <w:t xml:space="preserve"> = 4 </w:t>
      </w:r>
      <w:proofErr w:type="spellStart"/>
      <w:r>
        <w:t>deg</w:t>
      </w:r>
      <w:proofErr w:type="spellEnd"/>
      <w:r w:rsidR="00DE29F9">
        <w:t>) of</w:t>
      </w:r>
      <w:r>
        <w:t xml:space="preserve"> the beams on the curved mirror</w:t>
      </w:r>
      <w:r w:rsidR="00DE29F9">
        <w:t xml:space="preserve">s causes </w:t>
      </w:r>
      <w:r>
        <w:t xml:space="preserve">a small </w:t>
      </w:r>
      <w:r w:rsidR="00DE29F9">
        <w:t xml:space="preserve">astigmatism of the cavity modes. The ratio between the effective curvatures of the mirror for the horizontal and vertical modes is </w:t>
      </w:r>
      <m:oMath>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w:rPr>
                    <w:rFonts w:ascii="Cambria Math" w:hAnsi="Cambria Math"/>
                  </w:rPr>
                  <m:t>2</m:t>
                </m:r>
              </m:sup>
            </m:sSup>
          </m:fName>
          <m:e>
            <m:sSub>
              <m:sSubPr>
                <m:ctrlPr>
                  <w:rPr>
                    <w:rFonts w:ascii="Cambria Math" w:hAnsi="Cambria Math"/>
                    <w:i/>
                  </w:rPr>
                </m:ctrlPr>
              </m:sSubPr>
              <m:e>
                <m:r>
                  <w:rPr>
                    <w:rFonts w:ascii="Cambria Math" w:hAnsi="Cambria Math"/>
                  </w:rPr>
                  <m:t>θ</m:t>
                </m:r>
              </m:e>
              <m:sub>
                <m:r>
                  <w:rPr>
                    <w:rFonts w:ascii="Cambria Math" w:hAnsi="Cambria Math"/>
                  </w:rPr>
                  <m:t>AOI</m:t>
                </m:r>
              </m:sub>
            </m:sSub>
          </m:e>
        </m:func>
        <m:r>
          <w:rPr>
            <w:rFonts w:ascii="Cambria Math" w:hAnsi="Cambria Math"/>
          </w:rPr>
          <m:t>=</m:t>
        </m:r>
        <m:r>
          <w:rPr>
            <w:rFonts w:ascii="Cambria Math" w:hAnsi="Cambria Math"/>
          </w:rPr>
          <m:t xml:space="preserve"> 0.995</m:t>
        </m:r>
      </m:oMath>
      <w:r w:rsidR="00DE29F9">
        <w:t xml:space="preserve">. </w:t>
      </w:r>
      <w:r w:rsidR="0011368D">
        <w:t>The</w:t>
      </w:r>
      <w:r w:rsidR="00DE29F9">
        <w:t xml:space="preserve"> transverse mode spacing for the hor</w:t>
      </w:r>
      <w:r w:rsidR="0011368D">
        <w:t>izontal and vertical modes are different</w:t>
      </w:r>
      <w:r w:rsidR="00DE29F9">
        <w:t xml:space="preserve"> by </w:t>
      </w:r>
      <m:oMath>
        <m:r>
          <w:rPr>
            <w:rFonts w:ascii="Cambria Math" w:hAnsi="Cambria Math"/>
          </w:rPr>
          <m:t>6×</m:t>
        </m:r>
        <m:sSup>
          <m:sSupPr>
            <m:ctrlPr>
              <w:rPr>
                <w:rFonts w:ascii="Cambria Math" w:hAnsi="Cambria Math"/>
                <w:i/>
              </w:rPr>
            </m:ctrlPr>
          </m:sSupPr>
          <m:e>
            <m:r>
              <w:rPr>
                <w:rFonts w:ascii="Cambria Math" w:hAnsi="Cambria Math"/>
              </w:rPr>
              <m:t>10</m:t>
            </m:r>
          </m:e>
          <m:sup>
            <m:r>
              <w:rPr>
                <w:rFonts w:ascii="Cambria Math" w:hAnsi="Cambria Math"/>
              </w:rPr>
              <m:t>-4</m:t>
            </m:r>
          </m:sup>
        </m:sSup>
      </m:oMath>
      <w:r w:rsidR="00DE29F9">
        <w:t xml:space="preserve"> in unit</w:t>
      </w:r>
      <w:r w:rsidR="0011368D">
        <w:t>s</w:t>
      </w:r>
      <w:r w:rsidR="00DE29F9">
        <w:t xml:space="preserve"> of </w:t>
      </w:r>
      <w:proofErr w:type="gramStart"/>
      <w:r w:rsidR="00DE29F9">
        <w:t>free-spectral-range</w:t>
      </w:r>
      <w:proofErr w:type="gramEnd"/>
      <w:r w:rsidR="00DE29F9">
        <w:t xml:space="preserve"> (FSR). As this is smaller than the cavity line width of </w:t>
      </w:r>
      <m:oMath>
        <m:r>
          <w:rPr>
            <w:rFonts w:ascii="Cambria Math" w:hAnsi="Cambria Math"/>
          </w:rPr>
          <m:t>2.5×</m:t>
        </m:r>
        <m:sSup>
          <m:sSupPr>
            <m:ctrlPr>
              <w:rPr>
                <w:rFonts w:ascii="Cambria Math" w:hAnsi="Cambria Math"/>
                <w:i/>
              </w:rPr>
            </m:ctrlPr>
          </m:sSupPr>
          <m:e>
            <m:r>
              <w:rPr>
                <w:rFonts w:ascii="Cambria Math" w:hAnsi="Cambria Math"/>
              </w:rPr>
              <m:t>10</m:t>
            </m:r>
          </m:e>
          <m:sup>
            <m:r>
              <w:rPr>
                <w:rFonts w:ascii="Cambria Math" w:hAnsi="Cambria Math"/>
              </w:rPr>
              <m:t>-3</m:t>
            </m:r>
          </m:sup>
        </m:sSup>
      </m:oMath>
      <w:r w:rsidR="00DE29F9">
        <w:t xml:space="preserve"> FSR, the higher-order modes are overlapped. Thus the effect of the astigmatism appears as broadening of the higher-order mode resonances. </w:t>
      </w:r>
    </w:p>
    <w:p w14:paraId="3F1FD876" w14:textId="15F24C03" w:rsidR="00DE29F9" w:rsidRPr="00DE29F9" w:rsidRDefault="00DE29F9" w:rsidP="00DE29F9">
      <w:r w:rsidRPr="005748B7">
        <w:t>It should be noted that a</w:t>
      </w:r>
      <w:r w:rsidR="00250F6B">
        <w:t>n alternative to the bowtie</w:t>
      </w:r>
      <w:r w:rsidRPr="005748B7">
        <w:t xml:space="preserve"> </w:t>
      </w:r>
      <w:r w:rsidR="0011368D">
        <w:t>cavity geometry</w:t>
      </w:r>
      <w:r w:rsidRPr="005748B7">
        <w:t xml:space="preserve"> was considered as a candidate. This is called </w:t>
      </w:r>
      <w:r w:rsidR="00250F6B">
        <w:t xml:space="preserve">the </w:t>
      </w:r>
      <w:r w:rsidRPr="005748B7">
        <w:t>“No-BS” configuration in T1000276</w:t>
      </w:r>
      <w:r w:rsidR="00250F6B">
        <w:t>,</w:t>
      </w:r>
      <w:r w:rsidRPr="005748B7">
        <w:t xml:space="preserve"> as the cavity has two output couplers</w:t>
      </w:r>
      <w:r w:rsidR="00250F6B">
        <w:t>, each having</w:t>
      </w:r>
      <w:r w:rsidRPr="005748B7">
        <w:t xml:space="preserve"> half</w:t>
      </w:r>
      <w:r w:rsidR="00250F6B">
        <w:t xml:space="preserve"> the</w:t>
      </w:r>
      <w:r w:rsidRPr="005748B7">
        <w:t xml:space="preserve"> transmission of the input coupler. We actually coated </w:t>
      </w:r>
      <w:r w:rsidR="00250F6B">
        <w:t>some</w:t>
      </w:r>
      <w:r w:rsidRPr="005748B7">
        <w:t xml:space="preserve"> curved mirrors to have the “half” transmission, and confirmed </w:t>
      </w:r>
      <w:r w:rsidR="00250F6B">
        <w:t>that any</w:t>
      </w:r>
      <w:r w:rsidRPr="005748B7">
        <w:t xml:space="preserve"> degradation of the</w:t>
      </w:r>
      <w:r w:rsidR="00250F6B">
        <w:t xml:space="preserve"> cavity transmission due to mirror transmission mismatch would be</w:t>
      </w:r>
      <w:r w:rsidRPr="005748B7">
        <w:t xml:space="preserve"> negligible. No significant disadvantage was found except that the No-B</w:t>
      </w:r>
      <w:r w:rsidR="00250F6B">
        <w:t>S configuration has a</w:t>
      </w:r>
      <w:r w:rsidRPr="005748B7">
        <w:t xml:space="preserve"> slightly longer optimum cavity length (1.175m) compared t</w:t>
      </w:r>
      <w:r w:rsidR="00250F6B">
        <w:t>o</w:t>
      </w:r>
      <w:r w:rsidRPr="005748B7">
        <w:t xml:space="preserve"> the bowtie cavity. As we did not find any serious issue with the use of the </w:t>
      </w:r>
      <w:proofErr w:type="spellStart"/>
      <w:r w:rsidRPr="005748B7">
        <w:t>beamsplitter</w:t>
      </w:r>
      <w:proofErr w:type="spellEnd"/>
      <w:r w:rsidRPr="005748B7">
        <w:t xml:space="preserve"> for the DC </w:t>
      </w:r>
      <w:proofErr w:type="spellStart"/>
      <w:r w:rsidRPr="005748B7">
        <w:t>photodetectors</w:t>
      </w:r>
      <w:proofErr w:type="spellEnd"/>
      <w:r w:rsidRPr="005748B7">
        <w:t xml:space="preserve"> in the </w:t>
      </w:r>
      <w:proofErr w:type="spellStart"/>
      <w:r w:rsidRPr="005748B7">
        <w:t>eLIGO</w:t>
      </w:r>
      <w:proofErr w:type="spellEnd"/>
      <w:r w:rsidRPr="005748B7">
        <w:t xml:space="preserve"> OMC, we adopted the bowtie configuration.</w:t>
      </w:r>
    </w:p>
    <w:p w14:paraId="054CD4A5" w14:textId="6F8680B3" w:rsidR="00A52B85" w:rsidRDefault="00A52B85" w:rsidP="006B5574">
      <w:pPr>
        <w:pStyle w:val="Heading1"/>
      </w:pPr>
      <w:r>
        <w:t>Scattered light</w:t>
      </w:r>
    </w:p>
    <w:p w14:paraId="08664358" w14:textId="35B1BD1F" w:rsidR="009C77E9" w:rsidRDefault="00CC42E1" w:rsidP="00CC42E1">
      <w:pPr>
        <w:pStyle w:val="Heading2"/>
      </w:pPr>
      <w:r>
        <w:t>Back-scattering</w:t>
      </w:r>
    </w:p>
    <w:p w14:paraId="3A3F9E89" w14:textId="39F4E402" w:rsidR="00CC42E1" w:rsidRDefault="00CC42E1" w:rsidP="00CC42E1">
      <w:r>
        <w:t>The OMC will be the largest source of light scattered back into the interferometer (retro-reflected). This is one of the main reasons it is isolate</w:t>
      </w:r>
      <w:r w:rsidR="000506A2">
        <w:t>d with a double-suspension. The retro-reflection comes from the resonant build-up of a counter-propagating mode in the OMC, sourced by back</w:t>
      </w:r>
      <w:r>
        <w:t xml:space="preserve">scattering </w:t>
      </w:r>
      <w:r w:rsidR="000506A2">
        <w:t xml:space="preserve">of the main circulating field </w:t>
      </w:r>
      <w:r>
        <w:t>from the cavity mirrors</w:t>
      </w:r>
      <w:r w:rsidR="000506A2">
        <w:t xml:space="preserve">. </w:t>
      </w:r>
      <w:r w:rsidR="00EF6903">
        <w:t xml:space="preserve">For scattering from a single cavity mirror, the fractional power </w:t>
      </w:r>
      <w:r w:rsidR="00D46D99">
        <w:t xml:space="preserve">scattered into the backward propagating mode is </w:t>
      </w:r>
      <w:proofErr w:type="gramStart"/>
      <m:oMath>
        <m:r>
          <w:rPr>
            <w:rFonts w:ascii="Cambria Math" w:hAnsi="Cambria Math"/>
          </w:rPr>
          <m:t>BRDF(</m:t>
        </m:r>
        <w:proofErr w:type="gramEnd"/>
        <m:r>
          <w:rPr>
            <w:rFonts w:ascii="Cambria Math" w:hAnsi="Cambria Math"/>
          </w:rPr>
          <m:t>θ)∙</m:t>
        </m:r>
        <m:sSup>
          <m:sSupPr>
            <m:ctrlPr>
              <w:rPr>
                <w:rFonts w:ascii="Cambria Math" w:hAnsi="Cambria Math"/>
                <w:i/>
              </w:rPr>
            </m:ctrlPr>
          </m:sSupPr>
          <m:e>
            <m:r>
              <w:rPr>
                <w:rFonts w:ascii="Cambria Math" w:hAnsi="Cambria Math"/>
              </w:rPr>
              <m:t>(λ</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πω</m:t>
            </m:r>
          </m:e>
          <m:sup>
            <m:r>
              <w:rPr>
                <w:rFonts w:ascii="Cambria Math" w:hAnsi="Cambria Math"/>
              </w:rPr>
              <m:t>2</m:t>
            </m:r>
          </m:sup>
        </m:sSup>
        <m:r>
          <w:rPr>
            <w:rFonts w:ascii="Cambria Math" w:hAnsi="Cambria Math"/>
          </w:rPr>
          <m:t>)</m:t>
        </m:r>
      </m:oMath>
      <w:r w:rsidR="00D46D99">
        <w:t xml:space="preserve">, where </w:t>
      </w:r>
      <w:r w:rsidR="00D46D99" w:rsidRPr="00D46D99">
        <w:rPr>
          <w:i/>
        </w:rPr>
        <w:t>BRDF</w:t>
      </w:r>
      <w:r w:rsidR="00D46D99">
        <w:t xml:space="preserve"> is the bidirectional reflectance distribution function at angle of incidence </w:t>
      </w:r>
      <w:r w:rsidR="00D46D99" w:rsidRPr="00F72CE9">
        <w:rPr>
          <w:rFonts w:ascii="Lucida Grande" w:hAnsi="Lucida Grande" w:cs="Lucida Grande"/>
          <w:i/>
          <w:color w:val="000000"/>
        </w:rPr>
        <w:t>θ</w:t>
      </w:r>
      <w:r w:rsidR="00D46D99">
        <w:t>, and</w:t>
      </w:r>
      <w:r w:rsidR="00D46D99" w:rsidRPr="00D46D99">
        <w:rPr>
          <w:rFonts w:ascii="Lucida Grande" w:hAnsi="Lucida Grande" w:cs="Lucida Grande"/>
          <w:b/>
          <w:color w:val="000000"/>
        </w:rPr>
        <w:t xml:space="preserve"> </w:t>
      </w:r>
      <w:r w:rsidR="00D46D99" w:rsidRPr="00D46D99">
        <w:rPr>
          <w:color w:val="000000"/>
        </w:rPr>
        <w:t>ω</w:t>
      </w:r>
      <w:r w:rsidR="00D46D99">
        <w:rPr>
          <w:color w:val="000000"/>
        </w:rPr>
        <w:t xml:space="preserve"> is the beam radius on the mirror. This counter-propagating mode is resonantly built up, so that the fractional power retro-reflected from the OMC from this mirror is:</w:t>
      </w:r>
    </w:p>
    <w:p w14:paraId="630EAD5F" w14:textId="41E6A1CA" w:rsidR="00EF6903" w:rsidRDefault="00DA2017" w:rsidP="00CC42E1">
      <w:pPr>
        <w:rPr>
          <w:color w:val="000000"/>
        </w:rPr>
      </w:pPr>
      <m:oMathPara>
        <m:oMathParaPr>
          <m:jc m:val="center"/>
        </m:oMathParaPr>
        <m:oMath>
          <m:sSub>
            <m:sSubPr>
              <m:ctrlPr>
                <w:rPr>
                  <w:rFonts w:ascii="Cambria Math" w:hAnsi="Cambria Math"/>
                  <w:i/>
                </w:rPr>
              </m:ctrlPr>
            </m:sSubPr>
            <m:e>
              <m:r>
                <w:rPr>
                  <w:rFonts w:ascii="Cambria Math" w:hAnsi="Cambria Math"/>
                </w:rPr>
                <m:t>R</m:t>
              </m:r>
            </m:e>
            <m:sub>
              <m:r>
                <w:rPr>
                  <w:rFonts w:ascii="Cambria Math" w:hAnsi="Cambria Math"/>
                </w:rPr>
                <m:t>OMC</m:t>
              </m:r>
            </m:sub>
          </m:sSub>
          <m:r>
            <w:rPr>
              <w:rFonts w:ascii="Cambria Math" w:hAnsi="Cambria Math"/>
            </w:rPr>
            <m:t>=BRDF(θ)∙</m:t>
          </m:r>
          <m:sSup>
            <m:sSupPr>
              <m:ctrlPr>
                <w:rPr>
                  <w:rFonts w:ascii="Cambria Math" w:hAnsi="Cambria Math"/>
                </w:rPr>
              </m:ctrlPr>
            </m:sSupPr>
            <m:e>
              <m:r>
                <m:rPr>
                  <m:sty m:val="p"/>
                </m:rPr>
                <w:rPr>
                  <w:rFonts w:ascii="Cambria Math" w:hAnsi="Cambria Math"/>
                </w:rPr>
                <m:t>λ</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F</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π</m:t>
              </m:r>
            </m:e>
            <m:sup>
              <m:r>
                <w:rPr>
                  <w:rFonts w:ascii="Cambria Math" w:hAnsi="Cambria Math"/>
                </w:rPr>
                <m:t>3</m:t>
              </m:r>
            </m:sup>
          </m:sSup>
          <m:sSup>
            <m:sSupPr>
              <m:ctrlPr>
                <w:rPr>
                  <w:rFonts w:ascii="Cambria Math" w:hAnsi="Cambria Math"/>
                  <w:i/>
                </w:rPr>
              </m:ctrlPr>
            </m:sSupPr>
            <m:e>
              <m:r>
                <w:rPr>
                  <w:rFonts w:ascii="Cambria Math" w:hAnsi="Cambria Math"/>
                </w:rPr>
                <m:t>ω</m:t>
              </m:r>
            </m:e>
            <m:sup>
              <m:r>
                <w:rPr>
                  <w:rFonts w:ascii="Cambria Math" w:hAnsi="Cambria Math"/>
                </w:rPr>
                <m:t>2</m:t>
              </m:r>
            </m:sup>
          </m:sSup>
          <m:r>
            <w:rPr>
              <w:rFonts w:ascii="Cambria Math" w:hAnsi="Cambria Math"/>
            </w:rPr>
            <m:t>,</m:t>
          </m:r>
          <m:r>
            <w:br/>
          </m:r>
        </m:oMath>
      </m:oMathPara>
      <w:proofErr w:type="gramStart"/>
      <w:r>
        <w:t>where</w:t>
      </w:r>
      <w:proofErr w:type="gramEnd"/>
      <w:r>
        <w:t xml:space="preserve"> </w:t>
      </w:r>
      <w:r w:rsidR="00931E1D">
        <w:rPr>
          <w:i/>
          <w:color w:val="000000"/>
        </w:rPr>
        <w:t>F</w:t>
      </w:r>
      <w:r w:rsidR="00931E1D">
        <w:rPr>
          <w:color w:val="000000"/>
        </w:rPr>
        <w:t xml:space="preserve"> is the cavity finesse</w:t>
      </w:r>
      <w:r w:rsidR="005365BA">
        <w:rPr>
          <w:color w:val="000000"/>
        </w:rPr>
        <w:t>.</w:t>
      </w:r>
    </w:p>
    <w:p w14:paraId="47D9AA29" w14:textId="48A72F75" w:rsidR="00D46D99" w:rsidRDefault="006132B5" w:rsidP="00CC42E1">
      <w:r>
        <w:t>At 4 degree angle-of-incidence, the BRDF of the super-polished mirrors is estimated to be of order 10</w:t>
      </w:r>
      <w:r>
        <w:rPr>
          <w:vertAlign w:val="superscript"/>
        </w:rPr>
        <w:t>-6</w:t>
      </w:r>
      <w:r>
        <w:t xml:space="preserve"> /</w:t>
      </w:r>
      <w:proofErr w:type="spellStart"/>
      <w:r>
        <w:t>steridian</w:t>
      </w:r>
      <w:proofErr w:type="spellEnd"/>
      <w:r>
        <w:t xml:space="preserve">. </w:t>
      </w:r>
      <w:r w:rsidR="00742717">
        <w:t xml:space="preserve">The beam radius on the two flat OMC mirrors is 0.5 mm, giving </w:t>
      </w:r>
      <m:oMath>
        <m:sSub>
          <m:sSubPr>
            <m:ctrlPr>
              <w:rPr>
                <w:rFonts w:ascii="Cambria Math" w:hAnsi="Cambria Math"/>
                <w:i/>
              </w:rPr>
            </m:ctrlPr>
          </m:sSubPr>
          <m:e>
            <m:r>
              <w:rPr>
                <w:rFonts w:ascii="Cambria Math" w:hAnsi="Cambria Math"/>
              </w:rPr>
              <m:t>R</m:t>
            </m:r>
          </m:e>
          <m:sub>
            <m:r>
              <w:rPr>
                <w:rFonts w:ascii="Cambria Math" w:hAnsi="Cambria Math"/>
              </w:rPr>
              <m:t>OMC</m:t>
            </m:r>
          </m:sub>
        </m:sSub>
        <m:r>
          <w:rPr>
            <w:rFonts w:ascii="Cambria Math" w:hAnsi="Cambria Math"/>
          </w:rPr>
          <m:t>=2.3×</m:t>
        </m:r>
        <m:sSup>
          <m:sSupPr>
            <m:ctrlPr>
              <w:rPr>
                <w:rFonts w:ascii="Cambria Math" w:hAnsi="Cambria Math"/>
                <w:i/>
              </w:rPr>
            </m:ctrlPr>
          </m:sSupPr>
          <m:e>
            <m:r>
              <w:rPr>
                <w:rFonts w:ascii="Cambria Math" w:hAnsi="Cambria Math"/>
              </w:rPr>
              <m:t>10</m:t>
            </m:r>
          </m:e>
          <m:sup>
            <m:r>
              <w:rPr>
                <w:rFonts w:ascii="Cambria Math" w:hAnsi="Cambria Math"/>
              </w:rPr>
              <m:t>-8</m:t>
            </m:r>
          </m:sup>
        </m:sSup>
      </m:oMath>
      <w:r w:rsidR="00742717">
        <w:t xml:space="preserve">. As a worst case, we assume that the scattering from each of the 4 OMC mirrors adds coherently, resulting in 16x higher retro-reflected power, or </w:t>
      </w:r>
      <m:oMath>
        <m:r>
          <w:rPr>
            <w:rFonts w:ascii="Cambria Math" w:hAnsi="Cambria Math"/>
          </w:rPr>
          <m:t>3.7×</m:t>
        </m:r>
        <m:sSup>
          <m:sSupPr>
            <m:ctrlPr>
              <w:rPr>
                <w:rFonts w:ascii="Cambria Math" w:hAnsi="Cambria Math"/>
                <w:i/>
              </w:rPr>
            </m:ctrlPr>
          </m:sSupPr>
          <m:e>
            <m:r>
              <w:rPr>
                <w:rFonts w:ascii="Cambria Math" w:hAnsi="Cambria Math"/>
              </w:rPr>
              <m:t>10</m:t>
            </m:r>
          </m:e>
          <m:sup>
            <m:r>
              <w:rPr>
                <w:rFonts w:ascii="Cambria Math" w:hAnsi="Cambria Math"/>
              </w:rPr>
              <m:t>-7</m:t>
            </m:r>
          </m:sup>
        </m:sSup>
      </m:oMath>
      <w:r w:rsidR="00987206">
        <w:t xml:space="preserve"> (power reflection)</w:t>
      </w:r>
      <w:r w:rsidR="00987206">
        <w:rPr>
          <w:rStyle w:val="FootnoteReference"/>
        </w:rPr>
        <w:footnoteReference w:id="1"/>
      </w:r>
      <w:r w:rsidR="00742717">
        <w:t>.</w:t>
      </w:r>
    </w:p>
    <w:p w14:paraId="0680D2C1" w14:textId="2A2F625A" w:rsidR="00BA5A67" w:rsidRPr="00EB7E59" w:rsidRDefault="00EB7E59" w:rsidP="00CC42E1">
      <w:r>
        <w:lastRenderedPageBreak/>
        <w:t>Displacement noise of this back-</w:t>
      </w:r>
      <w:proofErr w:type="spellStart"/>
      <w:r>
        <w:t>scatterer</w:t>
      </w:r>
      <w:proofErr w:type="spellEnd"/>
      <w:r>
        <w:t xml:space="preserve"> (i.e. motion of the OMC) produces phase noise on the output field, and thus noise in the GW channel. The noise criterion is </w:t>
      </w:r>
      <w:r>
        <w:rPr>
          <w:i/>
        </w:rPr>
        <w:t>(need to verify/document this)</w:t>
      </w:r>
      <w:r>
        <w:t>:</w:t>
      </w:r>
      <w:r>
        <w:br/>
      </w:r>
      <m:oMathPara>
        <m:oMathParaPr>
          <m:jc m:val="center"/>
        </m:oMathParaPr>
        <m:oMath>
          <m:sSub>
            <m:sSubPr>
              <m:ctrlPr>
                <w:rPr>
                  <w:rFonts w:ascii="Cambria Math" w:hAnsi="Cambria Math"/>
                  <w:i/>
                </w:rPr>
              </m:ctrlPr>
            </m:sSubPr>
            <m:e>
              <m:r>
                <w:rPr>
                  <w:rFonts w:ascii="Cambria Math" w:hAnsi="Cambria Math"/>
                </w:rPr>
                <m:t>x</m:t>
              </m:r>
            </m:e>
            <m:sub>
              <m:r>
                <w:rPr>
                  <w:rFonts w:ascii="Cambria Math" w:hAnsi="Cambria Math"/>
                </w:rPr>
                <m:t>OMC</m:t>
              </m:r>
            </m:sub>
          </m:sSub>
          <m:rad>
            <m:radPr>
              <m:degHide m:val="1"/>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OMC</m:t>
                  </m:r>
                </m:sub>
              </m:sSub>
            </m:e>
          </m:rad>
          <m:r>
            <w:rPr>
              <w:rFonts w:ascii="Cambria Math" w:hAnsi="Cambria Math"/>
            </w:rPr>
            <m:t>&lt;</m:t>
          </m:r>
          <m:sSup>
            <m:sSupPr>
              <m:ctrlPr>
                <w:rPr>
                  <w:rFonts w:ascii="Cambria Math" w:hAnsi="Cambria Math"/>
                  <w:i/>
                </w:rPr>
              </m:ctrlPr>
            </m:sSupPr>
            <m:e>
              <m:r>
                <w:rPr>
                  <w:rFonts w:ascii="Cambria Math" w:hAnsi="Cambria Math"/>
                </w:rPr>
                <m:t>10</m:t>
              </m:r>
            </m:e>
            <m:sup>
              <m:r>
                <w:rPr>
                  <w:rFonts w:ascii="Cambria Math" w:hAnsi="Cambria Math"/>
                </w:rPr>
                <m:t>-17</m:t>
              </m:r>
            </m:sup>
          </m:sSup>
          <m:r>
            <w:rPr>
              <w:rFonts w:ascii="Cambria Math" w:hAnsi="Cambria Math"/>
            </w:rPr>
            <m:t xml:space="preserve"> </m:t>
          </m:r>
          <m:r>
            <m:rPr>
              <m:nor/>
            </m:rPr>
            <w:rPr>
              <w:rFonts w:ascii="Cambria Math" w:hAnsi="Cambria Math"/>
            </w:rPr>
            <m:t>m/</m:t>
          </m:r>
          <w:proofErr w:type="gramStart"/>
          <m:r>
            <m:rPr>
              <m:nor/>
            </m:rPr>
            <w:rPr>
              <w:rFonts w:ascii="Cambria Math" w:hAnsi="Cambria Math"/>
            </w:rPr>
            <m:t>√Hz</m:t>
          </m:r>
          <m:r>
            <m:rPr>
              <m:nor/>
            </m:rPr>
            <w:rPr>
              <w:rFonts w:ascii="Cambria Math" w:hAnsi="Cambria Math"/>
            </w:rPr>
            <m:t xml:space="preserve"> ,</m:t>
          </m:r>
          <w:proofErr w:type="gramEnd"/>
          <m:r>
            <m:rPr>
              <m:nor/>
            </m:rPr>
            <w:rPr>
              <w:rFonts w:ascii="Cambria Math" w:hAnsi="Cambria Math"/>
            </w:rPr>
            <m:t xml:space="preserve"> </m:t>
          </m:r>
          <m:r>
            <w:rPr>
              <w:rFonts w:ascii="Cambria Math" w:hAnsi="Cambria Math"/>
            </w:rPr>
            <m:t>f&gt;10</m:t>
          </m:r>
          <m:r>
            <m:rPr>
              <m:nor/>
            </m:rPr>
            <w:rPr>
              <w:rFonts w:ascii="Cambria Math" w:hAnsi="Cambria Math"/>
            </w:rPr>
            <m:t>Hz</m:t>
          </m:r>
          <m:r>
            <w:rPr>
              <w:rFonts w:ascii="Cambria Math" w:hAnsi="Cambria Math"/>
            </w:rPr>
            <m:t>.</m:t>
          </m:r>
        </m:oMath>
      </m:oMathPara>
    </w:p>
    <w:p w14:paraId="436C8186" w14:textId="3E7512A5" w:rsidR="00EB7E59" w:rsidRDefault="00EB7E59" w:rsidP="00CC42E1">
      <w:r>
        <w:t xml:space="preserve">With the above </w:t>
      </w:r>
      <w:r>
        <w:rPr>
          <w:i/>
        </w:rPr>
        <w:t>R</w:t>
      </w:r>
      <w:r>
        <w:rPr>
          <w:i/>
          <w:vertAlign w:val="subscript"/>
        </w:rPr>
        <w:t>OMC</w:t>
      </w:r>
      <w:r>
        <w:t xml:space="preserve">, this leads to </w:t>
      </w:r>
      <m:oMath>
        <m:sSub>
          <m:sSubPr>
            <m:ctrlPr>
              <w:rPr>
                <w:rFonts w:ascii="Cambria Math" w:hAnsi="Cambria Math"/>
                <w:i/>
              </w:rPr>
            </m:ctrlPr>
          </m:sSubPr>
          <m:e>
            <m:r>
              <w:rPr>
                <w:rFonts w:ascii="Cambria Math" w:hAnsi="Cambria Math"/>
              </w:rPr>
              <m:t>x</m:t>
            </m:r>
          </m:e>
          <m:sub>
            <m:r>
              <w:rPr>
                <w:rFonts w:ascii="Cambria Math" w:hAnsi="Cambria Math"/>
              </w:rPr>
              <m:t>OMC</m:t>
            </m:r>
          </m:sub>
        </m:sSub>
        <m:r>
          <w:rPr>
            <w:rFonts w:ascii="Cambria Math" w:hAnsi="Cambria Math"/>
          </w:rPr>
          <m:t>&lt;</m:t>
        </m:r>
        <m:sSup>
          <m:sSupPr>
            <m:ctrlPr>
              <w:rPr>
                <w:rFonts w:ascii="Cambria Math" w:hAnsi="Cambria Math"/>
                <w:i/>
              </w:rPr>
            </m:ctrlPr>
          </m:sSupPr>
          <m:e>
            <m:r>
              <w:rPr>
                <w:rFonts w:ascii="Cambria Math" w:hAnsi="Cambria Math"/>
              </w:rPr>
              <m:t>10</m:t>
            </m:r>
          </m:e>
          <m:sup>
            <m:r>
              <w:rPr>
                <w:rFonts w:ascii="Cambria Math" w:hAnsi="Cambria Math"/>
              </w:rPr>
              <m:t>-14</m:t>
            </m:r>
          </m:sup>
        </m:sSup>
        <m:r>
          <w:rPr>
            <w:rFonts w:ascii="Cambria Math" w:hAnsi="Cambria Math"/>
          </w:rPr>
          <m:t xml:space="preserve"> </m:t>
        </m:r>
        <m:r>
          <m:rPr>
            <m:nor/>
          </m:rPr>
          <w:rPr>
            <w:rFonts w:ascii="Cambria Math" w:hAnsi="Cambria Math"/>
          </w:rPr>
          <m:t>m/</m:t>
        </m:r>
        <w:proofErr w:type="gramStart"/>
        <m:r>
          <m:rPr>
            <m:nor/>
          </m:rPr>
          <w:rPr>
            <w:rFonts w:ascii="Cambria Math" w:hAnsi="Cambria Math"/>
          </w:rPr>
          <m:t>√Hz</m:t>
        </m:r>
        <m:r>
          <m:rPr>
            <m:nor/>
          </m:rPr>
          <w:rPr>
            <w:rFonts w:ascii="Cambria Math" w:hAnsi="Cambria Math"/>
          </w:rPr>
          <m:t xml:space="preserve"> </m:t>
        </m:r>
      </m:oMath>
      <w:r>
        <w:t>.</w:t>
      </w:r>
      <w:proofErr w:type="gramEnd"/>
      <w:r>
        <w:t xml:space="preserve"> </w:t>
      </w:r>
      <w:r w:rsidR="00DA1892">
        <w:t xml:space="preserve">With a maximum HAM-ISI motion of </w:t>
      </w:r>
      <m:oMath>
        <m:sSup>
          <m:sSupPr>
            <m:ctrlPr>
              <w:rPr>
                <w:rFonts w:ascii="Cambria Math" w:hAnsi="Cambria Math"/>
                <w:i/>
              </w:rPr>
            </m:ctrlPr>
          </m:sSupPr>
          <m:e>
            <m:r>
              <w:rPr>
                <w:rFonts w:ascii="Cambria Math" w:hAnsi="Cambria Math"/>
              </w:rPr>
              <m:t>10</m:t>
            </m:r>
          </m:e>
          <m:sup>
            <m:r>
              <w:rPr>
                <w:rFonts w:ascii="Cambria Math" w:hAnsi="Cambria Math"/>
              </w:rPr>
              <m:t>-11</m:t>
            </m:r>
          </m:sup>
        </m:sSup>
        <m:r>
          <w:rPr>
            <w:rFonts w:ascii="Cambria Math" w:hAnsi="Cambria Math"/>
          </w:rPr>
          <m:t xml:space="preserve"> </m:t>
        </m:r>
        <m:r>
          <m:rPr>
            <m:nor/>
          </m:rPr>
          <w:rPr>
            <w:rFonts w:ascii="Cambria Math" w:hAnsi="Cambria Math"/>
          </w:rPr>
          <m:t>m/</m:t>
        </m:r>
        <w:proofErr w:type="gramStart"/>
        <m:r>
          <m:rPr>
            <m:nor/>
          </m:rPr>
          <w:rPr>
            <w:rFonts w:ascii="Cambria Math" w:hAnsi="Cambria Math"/>
          </w:rPr>
          <m:t>√Hz</m:t>
        </m:r>
        <m:r>
          <m:rPr>
            <m:nor/>
          </m:rPr>
          <w:rPr>
            <w:rFonts w:ascii="Cambria Math" w:hAnsi="Cambria Math"/>
          </w:rPr>
          <m:t xml:space="preserve"> </m:t>
        </m:r>
      </m:oMath>
      <w:r w:rsidR="00DA1892">
        <w:t>,</w:t>
      </w:r>
      <w:proofErr w:type="gramEnd"/>
      <w:r w:rsidR="00DA1892">
        <w:t xml:space="preserve"> we need a suspension isolation factor of at least 1000 above 10 Hz. </w:t>
      </w:r>
      <w:r w:rsidR="004E609B">
        <w:t>The OMC suspension model gives an isolation factor of 2000 at 10 Hz (see LIGO-T0900060).</w:t>
      </w:r>
    </w:p>
    <w:p w14:paraId="0F24BF68" w14:textId="2CD0F47F" w:rsidR="00EA22DC" w:rsidRDefault="00EA22DC" w:rsidP="00EA22DC">
      <w:pPr>
        <w:pStyle w:val="Heading2"/>
      </w:pPr>
      <w:r>
        <w:t>Specular reflections</w:t>
      </w:r>
    </w:p>
    <w:p w14:paraId="0FCFAA9D" w14:textId="6A44CE42" w:rsidR="00EA22DC" w:rsidRPr="00EA22DC" w:rsidRDefault="00EA22DC" w:rsidP="00EA22DC">
      <w:r>
        <w:t>The specular reflections from the 4 diodes (DCPDs and QPDs) are each caught in a V-shaped black-glass beam dump. These dumps are epoxy-bonded to the breadboard.</w:t>
      </w:r>
    </w:p>
    <w:p w14:paraId="103BC189" w14:textId="40E9964D" w:rsidR="00FB1B59" w:rsidRDefault="001929FE" w:rsidP="006B5574">
      <w:pPr>
        <w:pStyle w:val="Heading1"/>
      </w:pPr>
      <w:r>
        <w:t>Mechanical design and construction</w:t>
      </w:r>
    </w:p>
    <w:p w14:paraId="07653D6B" w14:textId="663BBFE2" w:rsidR="00440BDE" w:rsidRDefault="00C80B5A" w:rsidP="00BE737B">
      <w:r>
        <w:t xml:space="preserve">The OMC is constructed on a fused silica breadboard, with the various components bonded to the breadboard with epoxy. Due to the need to cure and outgas the epoxy at an elevated temperature, any element bonded to the breadboard must also be of fused silica (or similar CTE material) to avoid </w:t>
      </w:r>
      <w:r w:rsidR="0042740A">
        <w:t>potentially damaging</w:t>
      </w:r>
      <w:r>
        <w:t xml:space="preserve"> differential thermal expansion.</w:t>
      </w:r>
      <w:r w:rsidR="00BE737B">
        <w:t xml:space="preserve"> </w:t>
      </w:r>
      <w:r w:rsidR="00BE737B" w:rsidRPr="00BE737B">
        <w:t xml:space="preserve">All of the glass-glass joints are bonded by </w:t>
      </w:r>
      <w:r w:rsidR="00BE737B">
        <w:t xml:space="preserve">a </w:t>
      </w:r>
      <w:r w:rsidR="00BE737B" w:rsidRPr="00BE737B">
        <w:t>UV-cure epoxy,</w:t>
      </w:r>
      <w:r w:rsidR="00BE737B">
        <w:t xml:space="preserve"> </w:t>
      </w:r>
      <w:r w:rsidR="00BE737B" w:rsidRPr="00BE737B">
        <w:t>(EMI OPTOCAST 3553-LV-UTF-HM). This epoxy has low viscosity</w:t>
      </w:r>
      <w:r w:rsidR="00BE737B">
        <w:t xml:space="preserve"> </w:t>
      </w:r>
      <w:r w:rsidR="00BE737B" w:rsidRPr="00BE737B">
        <w:t>(500 cps, cf. ~2000 cps of EP30-2</w:t>
      </w:r>
      <w:r w:rsidR="00BE737B">
        <w:t>), and is approved for vacuum</w:t>
      </w:r>
      <w:r w:rsidR="00BE737B" w:rsidRPr="00BE737B">
        <w:t>.</w:t>
      </w:r>
      <w:r w:rsidR="00BE737B">
        <w:t xml:space="preserve"> It can make very thin bond layers, estimated to be ~1 micron, which is important f</w:t>
      </w:r>
      <w:r w:rsidR="00BD7CDD">
        <w:t>or maintaining angles between bonded surfaces</w:t>
      </w:r>
      <w:r w:rsidR="00BE737B">
        <w:t xml:space="preserve">. </w:t>
      </w:r>
      <w:r w:rsidR="00BD7CDD">
        <w:t xml:space="preserve">Once the epoxy is applied to a bond, the optical element (prism) can be </w:t>
      </w:r>
      <w:proofErr w:type="gramStart"/>
      <w:r w:rsidR="00BD7CDD">
        <w:t>fine-aligned</w:t>
      </w:r>
      <w:proofErr w:type="gramEnd"/>
      <w:r w:rsidR="00BD7CDD">
        <w:t>, then tacked in place by illuminating with</w:t>
      </w:r>
      <w:r w:rsidR="00BE737B" w:rsidRPr="00BE737B">
        <w:t xml:space="preserve"> UV light. </w:t>
      </w:r>
      <w:r w:rsidR="00BD7CDD">
        <w:t>Complete curing of the epoxy is achieved with heat, with the entire breadboard undergoing a 90-100 C bake</w:t>
      </w:r>
      <w:r w:rsidR="00BE737B" w:rsidRPr="00BE737B">
        <w:t>.</w:t>
      </w:r>
    </w:p>
    <w:p w14:paraId="1C505D61" w14:textId="00B48FA7" w:rsidR="00C80B5A" w:rsidRDefault="00C80B5A" w:rsidP="00912D87">
      <w:r>
        <w:t xml:space="preserve">The fused silica breadboard dimensions are: </w:t>
      </w:r>
      <w:r w:rsidR="00F43885">
        <w:t xml:space="preserve">45 cm long </w:t>
      </w:r>
      <w:r w:rsidR="00F43885" w:rsidRPr="00C07572">
        <w:rPr>
          <w:rFonts w:ascii="ＭＳ ゴシック" w:eastAsia="ＭＳ ゴシック" w:hAnsi="ＭＳ ゴシック"/>
          <w:color w:val="000000"/>
        </w:rPr>
        <w:t>×</w:t>
      </w:r>
      <w:r w:rsidR="00F43885">
        <w:t>15 cm wide</w:t>
      </w:r>
      <w:r w:rsidR="00D2794B">
        <w:t xml:space="preserve"> </w:t>
      </w:r>
      <w:r w:rsidR="00F43885" w:rsidRPr="00C07572">
        <w:rPr>
          <w:rFonts w:ascii="ＭＳ ゴシック" w:eastAsia="ＭＳ ゴシック" w:hAnsi="ＭＳ ゴシック"/>
          <w:color w:val="000000"/>
        </w:rPr>
        <w:t>×</w:t>
      </w:r>
      <w:r w:rsidR="00F43885">
        <w:t>4.1275 cm thick.</w:t>
      </w:r>
      <w:r w:rsidR="00114982">
        <w:t xml:space="preserve"> The nominal mass is 6.13 kg (not accounting for bevels on edges). The total mass budget for the OMC assembly, for compatibility with the suspension, is 7.0 kg. One side of the breadboard is designated for mounting the OMC </w:t>
      </w:r>
      <w:r w:rsidR="004D323E">
        <w:t xml:space="preserve">optical </w:t>
      </w:r>
      <w:r w:rsidR="00114982">
        <w:t xml:space="preserve">components. This side is polished with a </w:t>
      </w:r>
      <w:r w:rsidR="00BC4C16">
        <w:t xml:space="preserve">reasonable </w:t>
      </w:r>
      <w:r w:rsidR="00114982">
        <w:t>flatness specification (flat to 20</w:t>
      </w:r>
      <w:r w:rsidR="00BC4C16">
        <w:t xml:space="preserve"> micron P-V). This is required because the components are bonded to the breadboard with no adjustment available in their pitch orientations. Therefore, to keep the cavity optic axis well centered on all the components, the breadboard</w:t>
      </w:r>
      <w:r w:rsidR="004D323E">
        <w:t xml:space="preserve"> must be reasonably flat; see below for quantitative analysis.</w:t>
      </w:r>
    </w:p>
    <w:p w14:paraId="12E52EF5" w14:textId="5847F8DC" w:rsidR="004D323E" w:rsidRDefault="004D323E" w:rsidP="00912D87">
      <w:r>
        <w:t>The other side of the breadboard is reserved for: suspension point mounts; balance trim masses; cable routing and connectors.</w:t>
      </w:r>
      <w:r w:rsidR="003E1EB2">
        <w:t xml:space="preserve"> The breadboard is suspended so that the cavity and optical components of the OMC are on the bottom surface, and the suspension points on the top surface.</w:t>
      </w:r>
    </w:p>
    <w:p w14:paraId="7B3D65CF" w14:textId="2E20C4D9" w:rsidR="00E03E79" w:rsidRDefault="00E03E79" w:rsidP="00912D87">
      <w:r>
        <w:t xml:space="preserve">There are </w:t>
      </w:r>
      <w:r w:rsidR="00213EBE">
        <w:t>several</w:t>
      </w:r>
      <w:r>
        <w:t xml:space="preserve"> types of fused silica components bonded to the breadboard. These are listed in the following table, and described below:</w:t>
      </w:r>
    </w:p>
    <w:p w14:paraId="453341B5" w14:textId="77777777" w:rsidR="00E03E79" w:rsidRDefault="00E03E79" w:rsidP="00912D87"/>
    <w:tbl>
      <w:tblPr>
        <w:tblStyle w:val="TableList3"/>
        <w:tblW w:w="9695" w:type="dxa"/>
        <w:tblLook w:val="04A0" w:firstRow="1" w:lastRow="0" w:firstColumn="1" w:lastColumn="0" w:noHBand="0" w:noVBand="1"/>
      </w:tblPr>
      <w:tblGrid>
        <w:gridCol w:w="2393"/>
        <w:gridCol w:w="3475"/>
        <w:gridCol w:w="2160"/>
        <w:gridCol w:w="1667"/>
      </w:tblGrid>
      <w:tr w:rsidR="00D12FC6" w14:paraId="2CC2A1E5" w14:textId="1539A6E1" w:rsidTr="00890AE9">
        <w:trPr>
          <w:cnfStyle w:val="100000000000" w:firstRow="1" w:lastRow="0" w:firstColumn="0" w:lastColumn="0" w:oddVBand="0" w:evenVBand="0" w:oddHBand="0" w:evenHBand="0" w:firstRowFirstColumn="0" w:firstRowLastColumn="0" w:lastRowFirstColumn="0" w:lastRowLastColumn="0"/>
        </w:trPr>
        <w:tc>
          <w:tcPr>
            <w:tcW w:w="2393" w:type="dxa"/>
            <w:tcBorders>
              <w:right w:val="single" w:sz="4" w:space="0" w:color="auto"/>
            </w:tcBorders>
          </w:tcPr>
          <w:p w14:paraId="47DB1DDB" w14:textId="7A3ADD2E" w:rsidR="0020015F" w:rsidRDefault="0020015F" w:rsidP="00890AE9">
            <w:pPr>
              <w:keepNext/>
              <w:jc w:val="center"/>
            </w:pPr>
            <w:r>
              <w:lastRenderedPageBreak/>
              <w:t>Component name</w:t>
            </w:r>
          </w:p>
        </w:tc>
        <w:tc>
          <w:tcPr>
            <w:tcW w:w="3475" w:type="dxa"/>
            <w:tcBorders>
              <w:top w:val="single" w:sz="12" w:space="0" w:color="000000"/>
              <w:left w:val="single" w:sz="4" w:space="0" w:color="auto"/>
              <w:right w:val="single" w:sz="4" w:space="0" w:color="auto"/>
            </w:tcBorders>
          </w:tcPr>
          <w:p w14:paraId="3C152CE8" w14:textId="3F4438A1" w:rsidR="0020015F" w:rsidRDefault="0020015F" w:rsidP="00890AE9">
            <w:pPr>
              <w:keepNext/>
              <w:jc w:val="center"/>
            </w:pPr>
            <w:r>
              <w:t>Use</w:t>
            </w:r>
          </w:p>
        </w:tc>
        <w:tc>
          <w:tcPr>
            <w:tcW w:w="2160" w:type="dxa"/>
            <w:tcBorders>
              <w:left w:val="single" w:sz="4" w:space="0" w:color="auto"/>
            </w:tcBorders>
          </w:tcPr>
          <w:p w14:paraId="13688BAA" w14:textId="373D4956" w:rsidR="0020015F" w:rsidRDefault="0020015F" w:rsidP="00890AE9">
            <w:pPr>
              <w:keepNext/>
              <w:jc w:val="center"/>
            </w:pPr>
            <w:r>
              <w:t>DCC</w:t>
            </w:r>
          </w:p>
        </w:tc>
        <w:tc>
          <w:tcPr>
            <w:tcW w:w="1667" w:type="dxa"/>
            <w:tcBorders>
              <w:left w:val="single" w:sz="4" w:space="0" w:color="auto"/>
            </w:tcBorders>
          </w:tcPr>
          <w:p w14:paraId="5FC3C5CD" w14:textId="5DF28066" w:rsidR="0020015F" w:rsidRDefault="0020015F" w:rsidP="00890AE9">
            <w:pPr>
              <w:keepNext/>
              <w:jc w:val="center"/>
            </w:pPr>
            <w:r>
              <w:t>Vendor</w:t>
            </w:r>
          </w:p>
        </w:tc>
      </w:tr>
      <w:tr w:rsidR="00D12FC6" w14:paraId="315AF6E9" w14:textId="74882EEC" w:rsidTr="00890AE9">
        <w:tc>
          <w:tcPr>
            <w:tcW w:w="2393" w:type="dxa"/>
            <w:tcBorders>
              <w:top w:val="single" w:sz="12" w:space="0" w:color="000000"/>
              <w:bottom w:val="single" w:sz="4" w:space="0" w:color="auto"/>
              <w:right w:val="single" w:sz="4" w:space="0" w:color="auto"/>
            </w:tcBorders>
          </w:tcPr>
          <w:p w14:paraId="41C99D51" w14:textId="1E9F5D00" w:rsidR="0020015F" w:rsidRDefault="0020015F" w:rsidP="00890AE9">
            <w:pPr>
              <w:keepNext/>
              <w:jc w:val="left"/>
            </w:pPr>
            <w:r>
              <w:t>Fused silica breadboard</w:t>
            </w:r>
          </w:p>
        </w:tc>
        <w:tc>
          <w:tcPr>
            <w:tcW w:w="3475" w:type="dxa"/>
            <w:tcBorders>
              <w:top w:val="single" w:sz="12" w:space="0" w:color="000000"/>
              <w:left w:val="single" w:sz="4" w:space="0" w:color="auto"/>
              <w:bottom w:val="single" w:sz="4" w:space="0" w:color="auto"/>
              <w:right w:val="single" w:sz="4" w:space="0" w:color="auto"/>
            </w:tcBorders>
          </w:tcPr>
          <w:p w14:paraId="6EA4FF12" w14:textId="61B7FED7" w:rsidR="0020015F" w:rsidRDefault="0020015F" w:rsidP="00890AE9">
            <w:pPr>
              <w:keepNext/>
              <w:jc w:val="center"/>
            </w:pPr>
            <w:r>
              <w:t>Mounting of OMC components</w:t>
            </w:r>
          </w:p>
        </w:tc>
        <w:tc>
          <w:tcPr>
            <w:tcW w:w="2160" w:type="dxa"/>
            <w:tcBorders>
              <w:top w:val="single" w:sz="12" w:space="0" w:color="000000"/>
              <w:left w:val="single" w:sz="4" w:space="0" w:color="auto"/>
              <w:bottom w:val="single" w:sz="4" w:space="0" w:color="auto"/>
            </w:tcBorders>
          </w:tcPr>
          <w:p w14:paraId="4ADA3CCA" w14:textId="0B9F1698" w:rsidR="0020015F" w:rsidRDefault="0020015F" w:rsidP="00890AE9">
            <w:pPr>
              <w:keepNext/>
              <w:jc w:val="center"/>
            </w:pPr>
            <w:hyperlink r:id="rId9" w:history="1">
              <w:r w:rsidRPr="00BE679D">
                <w:rPr>
                  <w:rStyle w:val="Hyperlink"/>
                </w:rPr>
                <w:t>D1200105</w:t>
              </w:r>
            </w:hyperlink>
          </w:p>
        </w:tc>
        <w:tc>
          <w:tcPr>
            <w:tcW w:w="1667" w:type="dxa"/>
            <w:tcBorders>
              <w:top w:val="single" w:sz="12" w:space="0" w:color="000000"/>
              <w:left w:val="single" w:sz="4" w:space="0" w:color="auto"/>
              <w:bottom w:val="single" w:sz="4" w:space="0" w:color="auto"/>
            </w:tcBorders>
          </w:tcPr>
          <w:p w14:paraId="277D11B1" w14:textId="3B34A691" w:rsidR="0020015F" w:rsidRDefault="0020015F" w:rsidP="00890AE9">
            <w:pPr>
              <w:keepNext/>
              <w:jc w:val="center"/>
            </w:pPr>
            <w:proofErr w:type="spellStart"/>
            <w:r>
              <w:t>Sydor</w:t>
            </w:r>
            <w:proofErr w:type="spellEnd"/>
            <w:r>
              <w:t xml:space="preserve"> Optics</w:t>
            </w:r>
          </w:p>
        </w:tc>
      </w:tr>
      <w:tr w:rsidR="00D12FC6" w14:paraId="65D584CB" w14:textId="041C73D1" w:rsidTr="00890AE9">
        <w:tc>
          <w:tcPr>
            <w:tcW w:w="2393" w:type="dxa"/>
            <w:tcBorders>
              <w:top w:val="single" w:sz="4" w:space="0" w:color="auto"/>
              <w:bottom w:val="single" w:sz="4" w:space="0" w:color="auto"/>
              <w:right w:val="single" w:sz="4" w:space="0" w:color="auto"/>
            </w:tcBorders>
          </w:tcPr>
          <w:p w14:paraId="09BF2735" w14:textId="71327E29" w:rsidR="0020015F" w:rsidRDefault="0020015F" w:rsidP="00890AE9">
            <w:pPr>
              <w:keepNext/>
              <w:jc w:val="left"/>
            </w:pPr>
            <w:r>
              <w:t>Optical prism</w:t>
            </w:r>
          </w:p>
        </w:tc>
        <w:tc>
          <w:tcPr>
            <w:tcW w:w="3475" w:type="dxa"/>
            <w:tcBorders>
              <w:top w:val="single" w:sz="4" w:space="0" w:color="auto"/>
              <w:left w:val="single" w:sz="4" w:space="0" w:color="auto"/>
              <w:bottom w:val="single" w:sz="4" w:space="0" w:color="auto"/>
              <w:right w:val="single" w:sz="4" w:space="0" w:color="auto"/>
            </w:tcBorders>
          </w:tcPr>
          <w:p w14:paraId="054FD893" w14:textId="581C7508" w:rsidR="0020015F" w:rsidRDefault="0020015F" w:rsidP="00890AE9">
            <w:pPr>
              <w:keepNext/>
              <w:jc w:val="center"/>
            </w:pPr>
            <w:r>
              <w:t xml:space="preserve">Cavity input/output couplers; </w:t>
            </w:r>
            <w:proofErr w:type="spellStart"/>
            <w:r>
              <w:t>beamsplitters</w:t>
            </w:r>
            <w:proofErr w:type="spellEnd"/>
            <w:r>
              <w:t>; high reflectors</w:t>
            </w:r>
          </w:p>
        </w:tc>
        <w:tc>
          <w:tcPr>
            <w:tcW w:w="2160" w:type="dxa"/>
            <w:tcBorders>
              <w:top w:val="single" w:sz="4" w:space="0" w:color="auto"/>
              <w:left w:val="single" w:sz="4" w:space="0" w:color="auto"/>
              <w:bottom w:val="single" w:sz="4" w:space="0" w:color="auto"/>
            </w:tcBorders>
          </w:tcPr>
          <w:p w14:paraId="63343B58" w14:textId="3354D281" w:rsidR="0020015F" w:rsidRDefault="0020015F" w:rsidP="00890AE9">
            <w:pPr>
              <w:keepNext/>
              <w:ind w:left="119" w:hanging="119"/>
              <w:jc w:val="center"/>
            </w:pPr>
            <w:hyperlink r:id="rId10" w:history="1">
              <w:r w:rsidRPr="00BE679D">
                <w:rPr>
                  <w:rStyle w:val="Hyperlink"/>
                </w:rPr>
                <w:t>D1101968</w:t>
              </w:r>
            </w:hyperlink>
          </w:p>
        </w:tc>
        <w:tc>
          <w:tcPr>
            <w:tcW w:w="1667" w:type="dxa"/>
            <w:tcBorders>
              <w:top w:val="single" w:sz="4" w:space="0" w:color="auto"/>
              <w:left w:val="single" w:sz="4" w:space="0" w:color="auto"/>
              <w:bottom w:val="single" w:sz="4" w:space="0" w:color="auto"/>
            </w:tcBorders>
          </w:tcPr>
          <w:p w14:paraId="5293DB76" w14:textId="4BC0C851" w:rsidR="0020015F" w:rsidRDefault="0020015F" w:rsidP="00890AE9">
            <w:pPr>
              <w:keepNext/>
              <w:jc w:val="center"/>
            </w:pPr>
            <w:r>
              <w:t xml:space="preserve">Gooch &amp; </w:t>
            </w:r>
            <w:proofErr w:type="spellStart"/>
            <w:r>
              <w:t>Housego</w:t>
            </w:r>
            <w:proofErr w:type="spellEnd"/>
          </w:p>
        </w:tc>
      </w:tr>
      <w:tr w:rsidR="00D12FC6" w14:paraId="351DD3BC" w14:textId="0D572319" w:rsidTr="00890AE9">
        <w:tc>
          <w:tcPr>
            <w:tcW w:w="2393" w:type="dxa"/>
            <w:tcBorders>
              <w:top w:val="single" w:sz="4" w:space="0" w:color="auto"/>
              <w:bottom w:val="single" w:sz="4" w:space="0" w:color="auto"/>
              <w:right w:val="single" w:sz="4" w:space="0" w:color="auto"/>
            </w:tcBorders>
          </w:tcPr>
          <w:p w14:paraId="4B545A2E" w14:textId="46C3577E" w:rsidR="0020015F" w:rsidRDefault="0020015F" w:rsidP="00890AE9">
            <w:pPr>
              <w:keepNext/>
              <w:jc w:val="left"/>
            </w:pPr>
            <w:r>
              <w:t>Mounting prism</w:t>
            </w:r>
          </w:p>
        </w:tc>
        <w:tc>
          <w:tcPr>
            <w:tcW w:w="3475" w:type="dxa"/>
            <w:tcBorders>
              <w:top w:val="single" w:sz="4" w:space="0" w:color="auto"/>
              <w:left w:val="single" w:sz="4" w:space="0" w:color="auto"/>
              <w:bottom w:val="single" w:sz="4" w:space="0" w:color="auto"/>
              <w:right w:val="single" w:sz="4" w:space="0" w:color="auto"/>
            </w:tcBorders>
          </w:tcPr>
          <w:p w14:paraId="7E1468E7" w14:textId="437BDB91" w:rsidR="0020015F" w:rsidRDefault="0020015F" w:rsidP="00890AE9">
            <w:pPr>
              <w:keepNext/>
              <w:jc w:val="center"/>
            </w:pPr>
            <w:r>
              <w:t>Cavity high reflectors with PZT actuators</w:t>
            </w:r>
          </w:p>
        </w:tc>
        <w:tc>
          <w:tcPr>
            <w:tcW w:w="2160" w:type="dxa"/>
            <w:tcBorders>
              <w:top w:val="single" w:sz="4" w:space="0" w:color="auto"/>
              <w:left w:val="single" w:sz="4" w:space="0" w:color="auto"/>
              <w:bottom w:val="single" w:sz="4" w:space="0" w:color="auto"/>
            </w:tcBorders>
          </w:tcPr>
          <w:p w14:paraId="70097015" w14:textId="0CE83668" w:rsidR="0020015F" w:rsidRDefault="0020015F" w:rsidP="00890AE9">
            <w:pPr>
              <w:keepNext/>
              <w:jc w:val="center"/>
            </w:pPr>
            <w:hyperlink r:id="rId11" w:history="1">
              <w:r w:rsidRPr="0020015F">
                <w:rPr>
                  <w:rStyle w:val="Hyperlink"/>
                </w:rPr>
                <w:t>D1102069</w:t>
              </w:r>
            </w:hyperlink>
          </w:p>
        </w:tc>
        <w:tc>
          <w:tcPr>
            <w:tcW w:w="1667" w:type="dxa"/>
            <w:tcBorders>
              <w:top w:val="single" w:sz="4" w:space="0" w:color="auto"/>
              <w:left w:val="single" w:sz="4" w:space="0" w:color="auto"/>
              <w:bottom w:val="single" w:sz="4" w:space="0" w:color="auto"/>
            </w:tcBorders>
          </w:tcPr>
          <w:p w14:paraId="62EA38C4" w14:textId="6DE6D686" w:rsidR="0020015F" w:rsidRDefault="0020015F" w:rsidP="00890AE9">
            <w:pPr>
              <w:keepNext/>
              <w:jc w:val="center"/>
            </w:pPr>
            <w:proofErr w:type="spellStart"/>
            <w:r>
              <w:t>Mindrum</w:t>
            </w:r>
            <w:proofErr w:type="spellEnd"/>
          </w:p>
        </w:tc>
      </w:tr>
      <w:tr w:rsidR="00D12FC6" w14:paraId="658D5676" w14:textId="4E90AA5E" w:rsidTr="00890AE9">
        <w:tc>
          <w:tcPr>
            <w:tcW w:w="2393" w:type="dxa"/>
            <w:tcBorders>
              <w:top w:val="single" w:sz="4" w:space="0" w:color="auto"/>
              <w:bottom w:val="single" w:sz="4" w:space="0" w:color="auto"/>
              <w:right w:val="single" w:sz="4" w:space="0" w:color="auto"/>
            </w:tcBorders>
          </w:tcPr>
          <w:p w14:paraId="5450A1BF" w14:textId="01A334D4" w:rsidR="0020015F" w:rsidRDefault="0020015F" w:rsidP="00890AE9">
            <w:pPr>
              <w:keepNext/>
              <w:jc w:val="left"/>
            </w:pPr>
            <w:r>
              <w:t>Diode mount glass block</w:t>
            </w:r>
          </w:p>
        </w:tc>
        <w:tc>
          <w:tcPr>
            <w:tcW w:w="3475" w:type="dxa"/>
            <w:tcBorders>
              <w:top w:val="single" w:sz="4" w:space="0" w:color="auto"/>
              <w:left w:val="single" w:sz="4" w:space="0" w:color="auto"/>
              <w:bottom w:val="single" w:sz="4" w:space="0" w:color="auto"/>
              <w:right w:val="single" w:sz="4" w:space="0" w:color="auto"/>
            </w:tcBorders>
          </w:tcPr>
          <w:p w14:paraId="3459FD0C" w14:textId="6D2E52C0" w:rsidR="0020015F" w:rsidRDefault="0020015F" w:rsidP="00890AE9">
            <w:pPr>
              <w:keepNext/>
              <w:jc w:val="center"/>
            </w:pPr>
            <w:r>
              <w:t>Photodiode mounting; balance mass mounting; connector bracket mounting</w:t>
            </w:r>
          </w:p>
        </w:tc>
        <w:tc>
          <w:tcPr>
            <w:tcW w:w="2160" w:type="dxa"/>
            <w:tcBorders>
              <w:top w:val="single" w:sz="4" w:space="0" w:color="auto"/>
              <w:left w:val="single" w:sz="4" w:space="0" w:color="auto"/>
              <w:bottom w:val="single" w:sz="4" w:space="0" w:color="auto"/>
            </w:tcBorders>
          </w:tcPr>
          <w:p w14:paraId="7B4D74F8" w14:textId="4ECC9E1B" w:rsidR="0020015F" w:rsidRDefault="0020015F" w:rsidP="00890AE9">
            <w:pPr>
              <w:keepNext/>
              <w:jc w:val="center"/>
            </w:pPr>
            <w:hyperlink r:id="rId12" w:history="1">
              <w:r w:rsidRPr="0020015F">
                <w:rPr>
                  <w:rStyle w:val="Hyperlink"/>
                </w:rPr>
                <w:t>D1102211</w:t>
              </w:r>
            </w:hyperlink>
          </w:p>
        </w:tc>
        <w:tc>
          <w:tcPr>
            <w:tcW w:w="1667" w:type="dxa"/>
            <w:tcBorders>
              <w:top w:val="single" w:sz="4" w:space="0" w:color="auto"/>
              <w:left w:val="single" w:sz="4" w:space="0" w:color="auto"/>
              <w:bottom w:val="single" w:sz="4" w:space="0" w:color="auto"/>
            </w:tcBorders>
          </w:tcPr>
          <w:p w14:paraId="1EE4B8F5" w14:textId="5931C232" w:rsidR="0020015F" w:rsidRDefault="00035367" w:rsidP="00890AE9">
            <w:pPr>
              <w:keepNext/>
              <w:jc w:val="center"/>
            </w:pPr>
            <w:proofErr w:type="spellStart"/>
            <w:r>
              <w:t>Mindrum</w:t>
            </w:r>
            <w:proofErr w:type="spellEnd"/>
          </w:p>
        </w:tc>
      </w:tr>
      <w:tr w:rsidR="00D12FC6" w14:paraId="52626AF7" w14:textId="47985C8E" w:rsidTr="00890AE9">
        <w:tc>
          <w:tcPr>
            <w:tcW w:w="2393" w:type="dxa"/>
            <w:tcBorders>
              <w:top w:val="single" w:sz="4" w:space="0" w:color="auto"/>
              <w:bottom w:val="single" w:sz="4" w:space="0" w:color="auto"/>
              <w:right w:val="single" w:sz="4" w:space="0" w:color="auto"/>
            </w:tcBorders>
          </w:tcPr>
          <w:p w14:paraId="2A2C4F35" w14:textId="24AE73CD" w:rsidR="0020015F" w:rsidRDefault="0020015F" w:rsidP="00890AE9">
            <w:pPr>
              <w:keepNext/>
              <w:jc w:val="left"/>
            </w:pPr>
            <w:r>
              <w:t>Mount bracket</w:t>
            </w:r>
          </w:p>
        </w:tc>
        <w:tc>
          <w:tcPr>
            <w:tcW w:w="3475" w:type="dxa"/>
            <w:tcBorders>
              <w:top w:val="single" w:sz="4" w:space="0" w:color="auto"/>
              <w:left w:val="single" w:sz="4" w:space="0" w:color="auto"/>
              <w:bottom w:val="single" w:sz="4" w:space="0" w:color="auto"/>
              <w:right w:val="single" w:sz="4" w:space="0" w:color="auto"/>
            </w:tcBorders>
          </w:tcPr>
          <w:p w14:paraId="00E77A80" w14:textId="3C995754" w:rsidR="0020015F" w:rsidRDefault="0020015F" w:rsidP="00890AE9">
            <w:pPr>
              <w:keepNext/>
              <w:jc w:val="center"/>
            </w:pPr>
            <w:r>
              <w:t>Mount points for suspension wire interface</w:t>
            </w:r>
          </w:p>
        </w:tc>
        <w:tc>
          <w:tcPr>
            <w:tcW w:w="2160" w:type="dxa"/>
            <w:tcBorders>
              <w:top w:val="single" w:sz="4" w:space="0" w:color="auto"/>
              <w:left w:val="single" w:sz="4" w:space="0" w:color="auto"/>
              <w:bottom w:val="single" w:sz="4" w:space="0" w:color="auto"/>
            </w:tcBorders>
          </w:tcPr>
          <w:p w14:paraId="4B533699" w14:textId="3A146CA9" w:rsidR="0020015F" w:rsidRDefault="0020015F" w:rsidP="00890AE9">
            <w:pPr>
              <w:keepNext/>
              <w:jc w:val="center"/>
            </w:pPr>
            <w:hyperlink r:id="rId13" w:history="1">
              <w:r w:rsidRPr="0020015F">
                <w:rPr>
                  <w:rStyle w:val="Hyperlink"/>
                </w:rPr>
                <w:t>D1102209</w:t>
              </w:r>
            </w:hyperlink>
          </w:p>
        </w:tc>
        <w:tc>
          <w:tcPr>
            <w:tcW w:w="1667" w:type="dxa"/>
            <w:tcBorders>
              <w:top w:val="single" w:sz="4" w:space="0" w:color="auto"/>
              <w:left w:val="single" w:sz="4" w:space="0" w:color="auto"/>
              <w:bottom w:val="single" w:sz="4" w:space="0" w:color="auto"/>
            </w:tcBorders>
          </w:tcPr>
          <w:p w14:paraId="3B238D5A" w14:textId="64F3E841" w:rsidR="0020015F" w:rsidRDefault="00035367" w:rsidP="00890AE9">
            <w:pPr>
              <w:keepNext/>
              <w:jc w:val="center"/>
            </w:pPr>
            <w:proofErr w:type="spellStart"/>
            <w:r>
              <w:t>Mindrum</w:t>
            </w:r>
            <w:proofErr w:type="spellEnd"/>
          </w:p>
        </w:tc>
      </w:tr>
      <w:tr w:rsidR="00D12FC6" w14:paraId="595AB691" w14:textId="77777777" w:rsidTr="00890AE9">
        <w:tc>
          <w:tcPr>
            <w:tcW w:w="2393" w:type="dxa"/>
            <w:tcBorders>
              <w:top w:val="single" w:sz="4" w:space="0" w:color="auto"/>
              <w:bottom w:val="single" w:sz="12" w:space="0" w:color="000000"/>
              <w:right w:val="single" w:sz="4" w:space="0" w:color="auto"/>
            </w:tcBorders>
          </w:tcPr>
          <w:p w14:paraId="535F5A0A" w14:textId="081ABE82" w:rsidR="00D12FC6" w:rsidRDefault="00D12FC6" w:rsidP="00BE679D">
            <w:pPr>
              <w:jc w:val="left"/>
            </w:pPr>
            <w:r>
              <w:t>Beam dump</w:t>
            </w:r>
          </w:p>
        </w:tc>
        <w:tc>
          <w:tcPr>
            <w:tcW w:w="3475" w:type="dxa"/>
            <w:tcBorders>
              <w:top w:val="single" w:sz="4" w:space="0" w:color="auto"/>
              <w:left w:val="single" w:sz="4" w:space="0" w:color="auto"/>
              <w:bottom w:val="single" w:sz="12" w:space="0" w:color="000000"/>
              <w:right w:val="single" w:sz="4" w:space="0" w:color="auto"/>
            </w:tcBorders>
          </w:tcPr>
          <w:p w14:paraId="0C0E26AD" w14:textId="050B2EF0" w:rsidR="00D12FC6" w:rsidRDefault="00D12FC6" w:rsidP="00BE679D">
            <w:pPr>
              <w:jc w:val="center"/>
            </w:pPr>
            <w:r>
              <w:t>Dumping of specular reflections</w:t>
            </w:r>
          </w:p>
        </w:tc>
        <w:tc>
          <w:tcPr>
            <w:tcW w:w="2160" w:type="dxa"/>
            <w:tcBorders>
              <w:top w:val="single" w:sz="4" w:space="0" w:color="auto"/>
              <w:left w:val="single" w:sz="4" w:space="0" w:color="auto"/>
              <w:bottom w:val="single" w:sz="12" w:space="0" w:color="000000"/>
            </w:tcBorders>
          </w:tcPr>
          <w:p w14:paraId="15EE63B0" w14:textId="77777777" w:rsidR="00D12FC6" w:rsidRDefault="00D12FC6" w:rsidP="00BE679D">
            <w:pPr>
              <w:jc w:val="center"/>
            </w:pPr>
          </w:p>
        </w:tc>
        <w:tc>
          <w:tcPr>
            <w:tcW w:w="1667" w:type="dxa"/>
            <w:tcBorders>
              <w:top w:val="single" w:sz="4" w:space="0" w:color="auto"/>
              <w:left w:val="single" w:sz="4" w:space="0" w:color="auto"/>
              <w:bottom w:val="single" w:sz="12" w:space="0" w:color="000000"/>
            </w:tcBorders>
          </w:tcPr>
          <w:p w14:paraId="75730A2F" w14:textId="77777777" w:rsidR="00D12FC6" w:rsidRDefault="00D12FC6" w:rsidP="0020015F">
            <w:pPr>
              <w:jc w:val="center"/>
            </w:pPr>
          </w:p>
        </w:tc>
      </w:tr>
    </w:tbl>
    <w:p w14:paraId="7352CDF6" w14:textId="77777777" w:rsidR="00E03E79" w:rsidRDefault="00E03E79" w:rsidP="00912D87"/>
    <w:p w14:paraId="15106D96" w14:textId="353EB34A" w:rsidR="00C94237" w:rsidRDefault="00712367" w:rsidP="00712367">
      <w:r w:rsidRPr="00712367">
        <w:t xml:space="preserve">Considering the thermal expansion coefficient of </w:t>
      </w:r>
      <w:r>
        <w:t>the fused silica breadboard, 0.52ppm/</w:t>
      </w:r>
      <w:r w:rsidRPr="00712367">
        <w:rPr>
          <w:color w:val="000000"/>
        </w:rPr>
        <w:t>°</w:t>
      </w:r>
      <w:r>
        <w:t xml:space="preserve">C for </w:t>
      </w:r>
      <w:r w:rsidRPr="00712367">
        <w:t xml:space="preserve">Corning 7980, </w:t>
      </w:r>
      <w:r w:rsidR="00D42C52">
        <w:t>a 1</w:t>
      </w:r>
      <w:r w:rsidRPr="00712367">
        <w:rPr>
          <w:color w:val="000000"/>
        </w:rPr>
        <w:t>°</w:t>
      </w:r>
      <w:r>
        <w:t xml:space="preserve">C </w:t>
      </w:r>
      <w:r w:rsidRPr="00712367">
        <w:t>temperature drift of the</w:t>
      </w:r>
      <w:r>
        <w:t xml:space="preserve"> </w:t>
      </w:r>
      <w:r w:rsidRPr="00712367">
        <w:t xml:space="preserve">breadboard </w:t>
      </w:r>
      <w:r>
        <w:t>will produce a</w:t>
      </w:r>
      <w:r w:rsidRPr="00712367">
        <w:t xml:space="preserve"> 0.5um </w:t>
      </w:r>
      <w:r>
        <w:t>change in the round-trip length change of the cavity. Day-to-day variations in the in-chamber temperatu</w:t>
      </w:r>
      <w:r w:rsidR="00D42C52">
        <w:t>re are typically smaller than 1</w:t>
      </w:r>
      <w:r w:rsidRPr="00712367">
        <w:rPr>
          <w:color w:val="000000"/>
        </w:rPr>
        <w:t>°</w:t>
      </w:r>
      <w:r>
        <w:t>C, but this sets the scale for the minimum cavity length actuation range</w:t>
      </w:r>
      <w:proofErr w:type="gramStart"/>
      <w:r>
        <w:t>;</w:t>
      </w:r>
      <w:proofErr w:type="gramEnd"/>
      <w:r>
        <w:t xml:space="preserve"> see section </w:t>
      </w:r>
      <w:r>
        <w:fldChar w:fldCharType="begin"/>
      </w:r>
      <w:r>
        <w:instrText xml:space="preserve"> REF _Ref220729871 \r \h </w:instrText>
      </w:r>
      <w:r>
        <w:fldChar w:fldCharType="separate"/>
      </w:r>
      <w:r w:rsidR="00D42C52">
        <w:t>6</w:t>
      </w:r>
      <w:r>
        <w:fldChar w:fldCharType="end"/>
      </w:r>
      <w:r>
        <w:t>.</w:t>
      </w:r>
    </w:p>
    <w:p w14:paraId="72C87E9F" w14:textId="206FC844" w:rsidR="00C94237" w:rsidRDefault="00C94237" w:rsidP="00C94237">
      <w:r>
        <w:t xml:space="preserve">The optical layout on the breadboard is shown in </w:t>
      </w:r>
      <w:r>
        <w:fldChar w:fldCharType="begin"/>
      </w:r>
      <w:r>
        <w:instrText xml:space="preserve"> REF _Ref219974751 \h </w:instrText>
      </w:r>
      <w:r>
        <w:fldChar w:fldCharType="separate"/>
      </w:r>
      <w:r w:rsidR="00D42C52">
        <w:t xml:space="preserve">Figure </w:t>
      </w:r>
      <w:r w:rsidR="00D42C52">
        <w:rPr>
          <w:noProof/>
        </w:rPr>
        <w:t>1</w:t>
      </w:r>
      <w:r>
        <w:fldChar w:fldCharType="end"/>
      </w:r>
      <w:r>
        <w:t>.</w:t>
      </w:r>
    </w:p>
    <w:p w14:paraId="53076D28" w14:textId="77777777" w:rsidR="00C94237" w:rsidRDefault="00C94237" w:rsidP="00C94237"/>
    <w:p w14:paraId="0716D818" w14:textId="7F5C8F92" w:rsidR="00C94237" w:rsidRDefault="00A2628D" w:rsidP="00C94237">
      <w:pPr>
        <w:keepNext/>
      </w:pPr>
      <w:r>
        <w:rPr>
          <w:noProof/>
        </w:rPr>
        <w:drawing>
          <wp:inline distT="0" distB="0" distL="0" distR="0" wp14:anchorId="1CFCCE66" wp14:editId="310DCAE3">
            <wp:extent cx="6089650" cy="2531110"/>
            <wp:effectExtent l="0" t="0" r="635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C_BBlayout_130125.pdf"/>
                    <pic:cNvPicPr/>
                  </pic:nvPicPr>
                  <pic:blipFill>
                    <a:blip r:embed="rId14">
                      <a:extLst>
                        <a:ext uri="{28A0092B-C50C-407E-A947-70E740481C1C}">
                          <a14:useLocalDpi xmlns:a14="http://schemas.microsoft.com/office/drawing/2010/main" val="0"/>
                        </a:ext>
                      </a:extLst>
                    </a:blip>
                    <a:stretch>
                      <a:fillRect/>
                    </a:stretch>
                  </pic:blipFill>
                  <pic:spPr>
                    <a:xfrm>
                      <a:off x="0" y="0"/>
                      <a:ext cx="6089650" cy="2531110"/>
                    </a:xfrm>
                    <a:prstGeom prst="rect">
                      <a:avLst/>
                    </a:prstGeom>
                  </pic:spPr>
                </pic:pic>
              </a:graphicData>
            </a:graphic>
          </wp:inline>
        </w:drawing>
      </w:r>
    </w:p>
    <w:p w14:paraId="3C009ECE" w14:textId="70B307DA" w:rsidR="00C94237" w:rsidRPr="00C94237" w:rsidRDefault="00C94237" w:rsidP="00C94237">
      <w:pPr>
        <w:pStyle w:val="Caption"/>
        <w:rPr>
          <w:b w:val="0"/>
          <w:sz w:val="22"/>
          <w:szCs w:val="22"/>
        </w:rPr>
      </w:pPr>
      <w:bookmarkStart w:id="1" w:name="_Ref219974751"/>
      <w:proofErr w:type="gramStart"/>
      <w:r>
        <w:t xml:space="preserve">Figure </w:t>
      </w:r>
      <w:proofErr w:type="gramEnd"/>
      <w:r>
        <w:fldChar w:fldCharType="begin"/>
      </w:r>
      <w:r>
        <w:instrText xml:space="preserve"> SEQ Figure \* ARABIC </w:instrText>
      </w:r>
      <w:r>
        <w:fldChar w:fldCharType="separate"/>
      </w:r>
      <w:r w:rsidR="00D42C52">
        <w:rPr>
          <w:noProof/>
        </w:rPr>
        <w:t>1</w:t>
      </w:r>
      <w:r>
        <w:fldChar w:fldCharType="end"/>
      </w:r>
      <w:bookmarkEnd w:id="1"/>
      <w:proofErr w:type="gramStart"/>
      <w:r>
        <w:t>.</w:t>
      </w:r>
      <w:proofErr w:type="gramEnd"/>
      <w:r>
        <w:rPr>
          <w:b w:val="0"/>
          <w:sz w:val="22"/>
          <w:szCs w:val="22"/>
        </w:rPr>
        <w:t xml:space="preserve"> </w:t>
      </w:r>
      <w:proofErr w:type="gramStart"/>
      <w:r>
        <w:rPr>
          <w:b w:val="0"/>
          <w:sz w:val="22"/>
          <w:szCs w:val="22"/>
        </w:rPr>
        <w:t xml:space="preserve">Layout of optical and </w:t>
      </w:r>
      <w:proofErr w:type="spellStart"/>
      <w:r>
        <w:rPr>
          <w:b w:val="0"/>
          <w:sz w:val="22"/>
          <w:szCs w:val="22"/>
        </w:rPr>
        <w:t>opto</w:t>
      </w:r>
      <w:proofErr w:type="spellEnd"/>
      <w:r>
        <w:rPr>
          <w:b w:val="0"/>
          <w:sz w:val="22"/>
          <w:szCs w:val="22"/>
        </w:rPr>
        <w:t>-mechanical components on the OMC breadboard.</w:t>
      </w:r>
      <w:proofErr w:type="gramEnd"/>
      <w:r>
        <w:rPr>
          <w:b w:val="0"/>
          <w:sz w:val="22"/>
          <w:szCs w:val="22"/>
        </w:rPr>
        <w:t xml:space="preserve"> This layout (without the annotations) is found in </w:t>
      </w:r>
      <w:hyperlink r:id="rId15" w:history="1">
        <w:r w:rsidRPr="00C94237">
          <w:rPr>
            <w:rStyle w:val="Hyperlink"/>
            <w:b w:val="0"/>
            <w:sz w:val="22"/>
            <w:szCs w:val="22"/>
          </w:rPr>
          <w:t>D1201439</w:t>
        </w:r>
      </w:hyperlink>
      <w:r>
        <w:rPr>
          <w:b w:val="0"/>
          <w:sz w:val="22"/>
          <w:szCs w:val="22"/>
        </w:rPr>
        <w:t>.</w:t>
      </w:r>
    </w:p>
    <w:p w14:paraId="04C120BF" w14:textId="48C4BACE" w:rsidR="004D323E" w:rsidRDefault="004D323E" w:rsidP="004D323E">
      <w:pPr>
        <w:pStyle w:val="Heading2"/>
      </w:pPr>
      <w:r>
        <w:lastRenderedPageBreak/>
        <w:t>Angle tolerance</w:t>
      </w:r>
    </w:p>
    <w:p w14:paraId="74FE03B8" w14:textId="38970BAB" w:rsidR="00440BDE" w:rsidRDefault="003E1EB2" w:rsidP="00912D87">
      <w:r>
        <w:t>The flatness of the breadboard and the perpendicularity of the components bonded to it are s</w:t>
      </w:r>
      <w:r w:rsidR="00A2628D">
        <w:t xml:space="preserve">pecified </w:t>
      </w:r>
      <w:r>
        <w:t xml:space="preserve">so as to keep the cavity optic axis </w:t>
      </w:r>
      <w:r w:rsidR="006275A5">
        <w:t>well centered on the optical elements (and so parallel to the breadboard mounting surface). We allow a maximum vertical offset of the beam position of 0.5 mm. For a two mirror linear c</w:t>
      </w:r>
      <w:r w:rsidR="00A2628D">
        <w:t>avity, with a g-parameter of 0.8</w:t>
      </w:r>
      <w:r w:rsidR="006275A5">
        <w:t xml:space="preserve">, the relation between beam offset and mirror angle is roughly: </w:t>
      </w:r>
      <m:oMath>
        <m:r>
          <w:rPr>
            <w:rFonts w:ascii="Cambria Math" w:hAnsi="Cambria Math"/>
          </w:rPr>
          <m:t>∆x</m:t>
        </m:r>
        <m:r>
          <w:rPr>
            <w:rFonts w:ascii="Cambria Math" w:hAnsi="Cambria Math"/>
          </w:rPr>
          <m:t>≈5</m:t>
        </m:r>
        <m:r>
          <w:rPr>
            <w:rFonts w:ascii="Cambria Math" w:hAnsi="Cambria Math"/>
          </w:rPr>
          <m:t>Lθ</m:t>
        </m:r>
      </m:oMath>
      <w:r w:rsidR="006275A5">
        <w:t xml:space="preserve">, where </w:t>
      </w:r>
      <w:r w:rsidR="006275A5">
        <w:rPr>
          <w:i/>
        </w:rPr>
        <w:t>L</w:t>
      </w:r>
      <w:r w:rsidR="006275A5">
        <w:t xml:space="preserve"> is the cavity length (0.5 m) and theta the mirror angle (deviation of mirror normal from breadboard plane). For </w:t>
      </w:r>
      <m:oMath>
        <m:r>
          <w:rPr>
            <w:rFonts w:ascii="Cambria Math" w:hAnsi="Cambria Math"/>
          </w:rPr>
          <m:t>∆x≤0.5 mm</m:t>
        </m:r>
      </m:oMath>
      <w:r w:rsidR="006275A5">
        <w:t xml:space="preserve">, this gives </w:t>
      </w:r>
      <m:oMath>
        <m:r>
          <w:rPr>
            <w:rFonts w:ascii="Cambria Math" w:hAnsi="Cambria Math"/>
          </w:rPr>
          <m:t>θ</m:t>
        </m:r>
        <m:r>
          <w:rPr>
            <w:rFonts w:ascii="Cambria Math" w:hAnsi="Cambria Math"/>
          </w:rPr>
          <m:t>≤20</m:t>
        </m:r>
        <m:r>
          <w:rPr>
            <w:rFonts w:ascii="Cambria Math" w:hAnsi="Cambria Math"/>
          </w:rPr>
          <m:t>0 μrad</m:t>
        </m:r>
        <m:r>
          <w:rPr>
            <w:rFonts w:ascii="Cambria Math" w:hAnsi="Cambria Math"/>
          </w:rPr>
          <m:t>=4</m:t>
        </m:r>
        <m:r>
          <w:rPr>
            <w:rFonts w:ascii="Cambria Math" w:hAnsi="Cambria Math"/>
          </w:rPr>
          <m:t>0 arcsec.</m:t>
        </m:r>
      </m:oMath>
    </w:p>
    <w:p w14:paraId="417482C4" w14:textId="652944B3" w:rsidR="006275A5" w:rsidRPr="006275A5" w:rsidRDefault="006275A5" w:rsidP="00912D87">
      <w:r>
        <w:t xml:space="preserve">The breadboard flatness specification, &lt; 20 microns P-V, over a distance of </w:t>
      </w:r>
      <w:r w:rsidR="00E03E79">
        <w:t>potentially 20 cm, corresponds to a maximum local angle deviation of about 100 micro-radians.</w:t>
      </w:r>
    </w:p>
    <w:p w14:paraId="3D457E8F" w14:textId="1A7ECED3" w:rsidR="00912D87" w:rsidRDefault="002C5A73" w:rsidP="002C5A73">
      <w:pPr>
        <w:pStyle w:val="Heading2"/>
      </w:pPr>
      <w:r>
        <w:t>Optical &amp; mounting prisms</w:t>
      </w:r>
    </w:p>
    <w:p w14:paraId="2BB00364" w14:textId="1DDB1DA2" w:rsidR="002C5A73" w:rsidRDefault="002C5A73" w:rsidP="002C5A73">
      <w:r>
        <w:t xml:space="preserve">The dimensions of both of these components were chosen in conjunction with a finite element analysis of the breadboard </w:t>
      </w:r>
      <w:r w:rsidR="00444AA6">
        <w:t xml:space="preserve">with prisms mounted. </w:t>
      </w:r>
      <w:r w:rsidR="007A266D">
        <w:t xml:space="preserve">This was done by examining a couple of the resonant modes in the several kHz </w:t>
      </w:r>
      <w:proofErr w:type="gramStart"/>
      <w:r w:rsidR="007A266D">
        <w:t>region</w:t>
      </w:r>
      <w:proofErr w:type="gramEnd"/>
      <w:r w:rsidR="007A266D">
        <w:t xml:space="preserve">, and looking at the deflection of the prism at the position of the cavity beam, for various sizes of prisms. The cavity beam height, relative to the breadboard surface, was chosen independently to be 15 mm; this is as low as possible </w:t>
      </w:r>
      <w:r w:rsidR="007A266D">
        <w:tab/>
        <w:t xml:space="preserve">while still providing adequate </w:t>
      </w:r>
      <w:r w:rsidR="00D82A3F">
        <w:t>space</w:t>
      </w:r>
      <w:r w:rsidR="007A266D">
        <w:t xml:space="preserve"> for mounting components such as the photodiodes. </w:t>
      </w:r>
      <w:r w:rsidR="00D82A3F">
        <w:t xml:space="preserve">The FEA analysis led to the selection of prism dimensions of: </w:t>
      </w:r>
      <w:proofErr w:type="gramStart"/>
      <w:r w:rsidR="00D82A3F">
        <w:t>20 mm</w:t>
      </w:r>
      <w:r w:rsidR="00D82A3F" w:rsidRPr="00C07572">
        <w:rPr>
          <w:rFonts w:ascii="ＭＳ ゴシック" w:eastAsia="ＭＳ ゴシック" w:hAnsi="ＭＳ ゴシック"/>
          <w:color w:val="000000"/>
        </w:rPr>
        <w:t>×</w:t>
      </w:r>
      <w:proofErr w:type="gramEnd"/>
      <w:r w:rsidR="00D82A3F">
        <w:t>10 m</w:t>
      </w:r>
      <w:r w:rsidR="001532CC">
        <w:t>m</w:t>
      </w:r>
      <w:r w:rsidR="00D82A3F" w:rsidRPr="00C07572">
        <w:rPr>
          <w:rFonts w:ascii="ＭＳ ゴシック" w:eastAsia="ＭＳ ゴシック" w:hAnsi="ＭＳ ゴシック"/>
          <w:color w:val="000000"/>
        </w:rPr>
        <w:t>×</w:t>
      </w:r>
      <w:r w:rsidR="00D82A3F">
        <w:t>23 mm (W</w:t>
      </w:r>
      <w:r w:rsidR="00D82A3F" w:rsidRPr="00C07572">
        <w:rPr>
          <w:rFonts w:ascii="ＭＳ ゴシック" w:eastAsia="ＭＳ ゴシック" w:hAnsi="ＭＳ ゴシック"/>
          <w:color w:val="000000"/>
        </w:rPr>
        <w:t>×</w:t>
      </w:r>
      <w:r w:rsidR="00D82A3F">
        <w:t>D</w:t>
      </w:r>
      <w:r w:rsidR="00D82A3F" w:rsidRPr="00C07572">
        <w:rPr>
          <w:rFonts w:ascii="ＭＳ ゴシック" w:eastAsia="ＭＳ ゴシック" w:hAnsi="ＭＳ ゴシック"/>
          <w:color w:val="000000"/>
        </w:rPr>
        <w:t>×</w:t>
      </w:r>
      <w:r w:rsidR="00D82A3F">
        <w:t xml:space="preserve">H). </w:t>
      </w:r>
    </w:p>
    <w:p w14:paraId="07DA09EF" w14:textId="77777777" w:rsidR="00D82A3F" w:rsidRDefault="00D82A3F" w:rsidP="002C5A73"/>
    <w:p w14:paraId="09F2160E" w14:textId="77777777" w:rsidR="001532CC" w:rsidRDefault="00D82A3F" w:rsidP="001532CC">
      <w:pPr>
        <w:keepNext/>
      </w:pPr>
      <w:r>
        <w:rPr>
          <w:noProof/>
        </w:rPr>
        <w:drawing>
          <wp:inline distT="0" distB="0" distL="0" distR="0" wp14:anchorId="2262114C" wp14:editId="3364A36B">
            <wp:extent cx="6089650" cy="3883740"/>
            <wp:effectExtent l="0" t="0" r="635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9650" cy="3883740"/>
                    </a:xfrm>
                    <a:prstGeom prst="rect">
                      <a:avLst/>
                    </a:prstGeom>
                    <a:noFill/>
                    <a:ln>
                      <a:noFill/>
                    </a:ln>
                  </pic:spPr>
                </pic:pic>
              </a:graphicData>
            </a:graphic>
          </wp:inline>
        </w:drawing>
      </w:r>
    </w:p>
    <w:p w14:paraId="52BBC900" w14:textId="2C38E5F8" w:rsidR="00D82A3F" w:rsidRDefault="001532CC" w:rsidP="001532CC">
      <w:pPr>
        <w:pStyle w:val="Caption"/>
        <w:rPr>
          <w:b w:val="0"/>
          <w:sz w:val="22"/>
          <w:szCs w:val="22"/>
        </w:rPr>
      </w:pPr>
      <w:proofErr w:type="gramStart"/>
      <w:r>
        <w:t xml:space="preserve">Figure </w:t>
      </w:r>
      <w:proofErr w:type="gramEnd"/>
      <w:r>
        <w:fldChar w:fldCharType="begin"/>
      </w:r>
      <w:r>
        <w:instrText xml:space="preserve"> SEQ Figure \* ARABIC </w:instrText>
      </w:r>
      <w:r>
        <w:fldChar w:fldCharType="separate"/>
      </w:r>
      <w:r w:rsidR="00D42C52">
        <w:rPr>
          <w:noProof/>
        </w:rPr>
        <w:t>2</w:t>
      </w:r>
      <w:r>
        <w:fldChar w:fldCharType="end"/>
      </w:r>
      <w:proofErr w:type="gramStart"/>
      <w:r>
        <w:t>.</w:t>
      </w:r>
      <w:proofErr w:type="gramEnd"/>
      <w:r>
        <w:t xml:space="preserve"> </w:t>
      </w:r>
      <w:proofErr w:type="gramStart"/>
      <w:r>
        <w:rPr>
          <w:b w:val="0"/>
          <w:sz w:val="22"/>
          <w:szCs w:val="22"/>
        </w:rPr>
        <w:t>Example of FEA of prism deflection, for a 5.79 kHz mode.</w:t>
      </w:r>
      <w:proofErr w:type="gramEnd"/>
      <w:r>
        <w:rPr>
          <w:b w:val="0"/>
          <w:sz w:val="22"/>
          <w:szCs w:val="22"/>
        </w:rPr>
        <w:t xml:space="preserve"> The beam spot position is at about the 4</w:t>
      </w:r>
      <w:r w:rsidRPr="001532CC">
        <w:rPr>
          <w:b w:val="0"/>
          <w:sz w:val="22"/>
          <w:szCs w:val="22"/>
          <w:vertAlign w:val="superscript"/>
        </w:rPr>
        <w:t>th</w:t>
      </w:r>
      <w:r>
        <w:rPr>
          <w:b w:val="0"/>
          <w:sz w:val="22"/>
          <w:szCs w:val="22"/>
        </w:rPr>
        <w:t xml:space="preserve"> node from the bottom. Prism dimensions are 20mm x 10mm x 23 mm.</w:t>
      </w:r>
    </w:p>
    <w:p w14:paraId="7A0C8EB7" w14:textId="25CBA198" w:rsidR="001532CC" w:rsidRPr="001532CC" w:rsidRDefault="001532CC" w:rsidP="001532CC">
      <w:r>
        <w:lastRenderedPageBreak/>
        <w:t xml:space="preserve">To help orient the prisms, each type has a large bevel (1.5 mm wide) on the top rear edge. The mounting prism type has a </w:t>
      </w:r>
      <w:r w:rsidR="00960DEE">
        <w:t>9 mm diameter hole through the face, centered on the beam location, for the beam to pass through.</w:t>
      </w:r>
    </w:p>
    <w:p w14:paraId="4F6F69F6" w14:textId="6768B406" w:rsidR="00180738" w:rsidRDefault="001929FE" w:rsidP="00A97D89">
      <w:pPr>
        <w:pStyle w:val="Heading1"/>
      </w:pPr>
      <w:bookmarkStart w:id="2" w:name="_Ref220729871"/>
      <w:r>
        <w:t>Cavity actuators</w:t>
      </w:r>
      <w:bookmarkEnd w:id="2"/>
    </w:p>
    <w:p w14:paraId="64AFE135" w14:textId="20F1C5F7" w:rsidR="007E5F72" w:rsidRDefault="00D16F5F" w:rsidP="00A97D89">
      <w:r>
        <w:t xml:space="preserve">Each of the two OMC curved mirrors is mounted on a PZT for position (cavity length) actuation. </w:t>
      </w:r>
      <w:r w:rsidR="007E5F72">
        <w:t>We have used two actuators, rather than just one, to keep the design symmetric and for the utility of having two actuators. The PZT specifications are:</w:t>
      </w:r>
    </w:p>
    <w:p w14:paraId="54BD4E24" w14:textId="77777777" w:rsidR="007E5F72" w:rsidRDefault="007E5F72" w:rsidP="00A97D89"/>
    <w:tbl>
      <w:tblPr>
        <w:tblStyle w:val="TableList3"/>
        <w:tblW w:w="5760" w:type="dxa"/>
        <w:jc w:val="center"/>
        <w:tblLook w:val="0480" w:firstRow="0" w:lastRow="0" w:firstColumn="1" w:lastColumn="0" w:noHBand="0" w:noVBand="1"/>
      </w:tblPr>
      <w:tblGrid>
        <w:gridCol w:w="2225"/>
        <w:gridCol w:w="3535"/>
      </w:tblGrid>
      <w:tr w:rsidR="007E5F72" w14:paraId="022B5F2B" w14:textId="77777777" w:rsidTr="00243512">
        <w:trPr>
          <w:jc w:val="center"/>
        </w:trPr>
        <w:tc>
          <w:tcPr>
            <w:tcW w:w="2225" w:type="dxa"/>
            <w:tcBorders>
              <w:top w:val="single" w:sz="12" w:space="0" w:color="000000"/>
              <w:bottom w:val="single" w:sz="2" w:space="0" w:color="auto"/>
            </w:tcBorders>
          </w:tcPr>
          <w:p w14:paraId="0A4D75B8" w14:textId="4A5F91E9" w:rsidR="007E5F72" w:rsidRDefault="007E5F72" w:rsidP="00A97D89">
            <w:r>
              <w:t>Vendor</w:t>
            </w:r>
          </w:p>
        </w:tc>
        <w:tc>
          <w:tcPr>
            <w:tcW w:w="3535" w:type="dxa"/>
            <w:tcBorders>
              <w:top w:val="single" w:sz="12" w:space="0" w:color="000000"/>
              <w:bottom w:val="single" w:sz="2" w:space="0" w:color="auto"/>
            </w:tcBorders>
          </w:tcPr>
          <w:p w14:paraId="58A9B902" w14:textId="7D6B985C" w:rsidR="007E5F72" w:rsidRDefault="007E5F72" w:rsidP="007E5F72">
            <w:pPr>
              <w:jc w:val="center"/>
            </w:pPr>
            <w:proofErr w:type="spellStart"/>
            <w:r>
              <w:t>Noliac</w:t>
            </w:r>
            <w:proofErr w:type="spellEnd"/>
          </w:p>
        </w:tc>
      </w:tr>
      <w:tr w:rsidR="007E5F72" w14:paraId="23616E2C" w14:textId="77777777" w:rsidTr="00243512">
        <w:trPr>
          <w:jc w:val="center"/>
        </w:trPr>
        <w:tc>
          <w:tcPr>
            <w:tcW w:w="2225" w:type="dxa"/>
            <w:tcBorders>
              <w:top w:val="single" w:sz="2" w:space="0" w:color="auto"/>
              <w:bottom w:val="single" w:sz="2" w:space="0" w:color="auto"/>
            </w:tcBorders>
          </w:tcPr>
          <w:p w14:paraId="54EE9524" w14:textId="4F6D6173" w:rsidR="007E5F72" w:rsidRDefault="007E5F72" w:rsidP="00A97D89">
            <w:r>
              <w:t>Model</w:t>
            </w:r>
          </w:p>
        </w:tc>
        <w:tc>
          <w:tcPr>
            <w:tcW w:w="3535" w:type="dxa"/>
            <w:tcBorders>
              <w:top w:val="single" w:sz="2" w:space="0" w:color="auto"/>
              <w:bottom w:val="single" w:sz="2" w:space="0" w:color="auto"/>
            </w:tcBorders>
          </w:tcPr>
          <w:p w14:paraId="5FDC5979" w14:textId="23C10719" w:rsidR="007E5F72" w:rsidRDefault="007E5F72" w:rsidP="007E5F72">
            <w:pPr>
              <w:jc w:val="center"/>
            </w:pPr>
            <w:r>
              <w:t>NAC2124</w:t>
            </w:r>
          </w:p>
        </w:tc>
      </w:tr>
      <w:tr w:rsidR="007E5F72" w14:paraId="4331FF25" w14:textId="77777777" w:rsidTr="00243512">
        <w:trPr>
          <w:jc w:val="center"/>
        </w:trPr>
        <w:tc>
          <w:tcPr>
            <w:tcW w:w="2225" w:type="dxa"/>
            <w:tcBorders>
              <w:top w:val="single" w:sz="2" w:space="0" w:color="auto"/>
              <w:bottom w:val="single" w:sz="2" w:space="0" w:color="auto"/>
            </w:tcBorders>
          </w:tcPr>
          <w:p w14:paraId="6BCC4115" w14:textId="32404F65" w:rsidR="007E5F72" w:rsidRDefault="007E5F72" w:rsidP="00A97D89">
            <w:r>
              <w:t>Size</w:t>
            </w:r>
          </w:p>
        </w:tc>
        <w:tc>
          <w:tcPr>
            <w:tcW w:w="3535" w:type="dxa"/>
            <w:tcBorders>
              <w:top w:val="single" w:sz="2" w:space="0" w:color="auto"/>
              <w:bottom w:val="single" w:sz="2" w:space="0" w:color="auto"/>
            </w:tcBorders>
          </w:tcPr>
          <w:p w14:paraId="19DA2288" w14:textId="14250A4E" w:rsidR="007E5F72" w:rsidRDefault="007E5F72" w:rsidP="007E5F72">
            <w:pPr>
              <w:spacing w:before="0"/>
              <w:jc w:val="center"/>
            </w:pPr>
            <w:r>
              <w:t xml:space="preserve">Ring shape: </w:t>
            </w:r>
          </w:p>
          <w:p w14:paraId="15E9BE30" w14:textId="606B6C42" w:rsidR="007E5F72" w:rsidRDefault="007E5F72" w:rsidP="007E5F72">
            <w:pPr>
              <w:spacing w:before="0"/>
              <w:jc w:val="center"/>
            </w:pPr>
            <w:r>
              <w:t>15 mm OD, 9 mm ID, 2 mm thick</w:t>
            </w:r>
          </w:p>
        </w:tc>
      </w:tr>
      <w:tr w:rsidR="007E5F72" w14:paraId="370838FE" w14:textId="77777777" w:rsidTr="00243512">
        <w:trPr>
          <w:jc w:val="center"/>
        </w:trPr>
        <w:tc>
          <w:tcPr>
            <w:tcW w:w="2225" w:type="dxa"/>
            <w:tcBorders>
              <w:top w:val="single" w:sz="2" w:space="0" w:color="auto"/>
              <w:bottom w:val="single" w:sz="2" w:space="0" w:color="auto"/>
            </w:tcBorders>
          </w:tcPr>
          <w:p w14:paraId="701601C2" w14:textId="6F374ED5" w:rsidR="007E5F72" w:rsidRDefault="00A82CF8" w:rsidP="00A97D89">
            <w:r>
              <w:t>Stroke</w:t>
            </w:r>
          </w:p>
        </w:tc>
        <w:tc>
          <w:tcPr>
            <w:tcW w:w="3535" w:type="dxa"/>
            <w:tcBorders>
              <w:top w:val="single" w:sz="2" w:space="0" w:color="auto"/>
              <w:bottom w:val="single" w:sz="2" w:space="0" w:color="auto"/>
            </w:tcBorders>
          </w:tcPr>
          <w:p w14:paraId="174E6F15" w14:textId="37D82928" w:rsidR="007E5F72" w:rsidRDefault="00A82CF8" w:rsidP="007E5F72">
            <w:pPr>
              <w:jc w:val="center"/>
            </w:pPr>
            <w:r>
              <w:t xml:space="preserve">2.8 microns at </w:t>
            </w:r>
            <w:r w:rsidR="007E5F72">
              <w:t>200 V</w:t>
            </w:r>
          </w:p>
        </w:tc>
      </w:tr>
      <w:tr w:rsidR="007E5F72" w14:paraId="21521301" w14:textId="77777777" w:rsidTr="00243512">
        <w:trPr>
          <w:jc w:val="center"/>
        </w:trPr>
        <w:tc>
          <w:tcPr>
            <w:tcW w:w="2225" w:type="dxa"/>
            <w:tcBorders>
              <w:top w:val="single" w:sz="2" w:space="0" w:color="auto"/>
              <w:bottom w:val="single" w:sz="2" w:space="0" w:color="auto"/>
            </w:tcBorders>
          </w:tcPr>
          <w:p w14:paraId="517F433C" w14:textId="7AAFAD08" w:rsidR="007E5F72" w:rsidRDefault="00A82CF8" w:rsidP="00A97D89">
            <w:r>
              <w:t>Sensitivity</w:t>
            </w:r>
          </w:p>
        </w:tc>
        <w:tc>
          <w:tcPr>
            <w:tcW w:w="3535" w:type="dxa"/>
            <w:tcBorders>
              <w:top w:val="single" w:sz="2" w:space="0" w:color="auto"/>
              <w:bottom w:val="single" w:sz="2" w:space="0" w:color="auto"/>
            </w:tcBorders>
          </w:tcPr>
          <w:p w14:paraId="1A434245" w14:textId="408E1360" w:rsidR="007E5F72" w:rsidRDefault="00A82CF8" w:rsidP="007E5F72">
            <w:pPr>
              <w:jc w:val="center"/>
            </w:pPr>
            <w:r>
              <w:t>14 nm/V</w:t>
            </w:r>
          </w:p>
        </w:tc>
      </w:tr>
      <w:tr w:rsidR="00A82CF8" w14:paraId="378914DA" w14:textId="77777777" w:rsidTr="00243512">
        <w:trPr>
          <w:jc w:val="center"/>
        </w:trPr>
        <w:tc>
          <w:tcPr>
            <w:tcW w:w="2225" w:type="dxa"/>
            <w:tcBorders>
              <w:top w:val="single" w:sz="2" w:space="0" w:color="auto"/>
              <w:bottom w:val="single" w:sz="12" w:space="0" w:color="000000"/>
            </w:tcBorders>
          </w:tcPr>
          <w:p w14:paraId="1D67BBD1" w14:textId="7644553E" w:rsidR="00A82CF8" w:rsidRDefault="00A82CF8" w:rsidP="00A97D89">
            <w:r>
              <w:t>Capacitance</w:t>
            </w:r>
          </w:p>
        </w:tc>
        <w:tc>
          <w:tcPr>
            <w:tcW w:w="3535" w:type="dxa"/>
            <w:tcBorders>
              <w:top w:val="single" w:sz="2" w:space="0" w:color="auto"/>
              <w:bottom w:val="single" w:sz="12" w:space="0" w:color="000000"/>
            </w:tcBorders>
          </w:tcPr>
          <w:p w14:paraId="2F9D105A" w14:textId="3687146D" w:rsidR="00A82CF8" w:rsidRDefault="00A82CF8" w:rsidP="007E5F72">
            <w:pPr>
              <w:jc w:val="center"/>
            </w:pPr>
            <w:r>
              <w:t xml:space="preserve">470 </w:t>
            </w:r>
            <w:proofErr w:type="spellStart"/>
            <w:r>
              <w:t>nF</w:t>
            </w:r>
            <w:proofErr w:type="spellEnd"/>
          </w:p>
        </w:tc>
      </w:tr>
    </w:tbl>
    <w:p w14:paraId="3EF76A03" w14:textId="77777777" w:rsidR="001D55E7" w:rsidRDefault="001D55E7" w:rsidP="00A97D89"/>
    <w:p w14:paraId="393B7571" w14:textId="461645F4" w:rsidR="000C2698" w:rsidRDefault="00A82CF8" w:rsidP="00A97D89">
      <w:r>
        <w:t xml:space="preserve">Each PZT has a large enough stroke to travel several </w:t>
      </w:r>
      <w:proofErr w:type="gramStart"/>
      <w:r>
        <w:t>free-spectral-ranges</w:t>
      </w:r>
      <w:proofErr w:type="gramEnd"/>
      <w:r>
        <w:t xml:space="preserve"> of the cavity. We plan to use both PZTs, splitting their functions as follows: one PZT is used </w:t>
      </w:r>
      <w:r w:rsidR="00920DBB">
        <w:t xml:space="preserve">for the length control feedback signal keeping the OMC locked; the other PZT is used to apply the dither modulation used to sense the OMC length, and also as a means of very quickly (&lt; 100 </w:t>
      </w:r>
      <w:proofErr w:type="spellStart"/>
      <w:r w:rsidR="00920DBB">
        <w:t>usec</w:t>
      </w:r>
      <w:proofErr w:type="spellEnd"/>
      <w:r w:rsidR="00920DBB">
        <w:t xml:space="preserve">) shifting the cavity length by many </w:t>
      </w:r>
      <w:proofErr w:type="spellStart"/>
      <w:r w:rsidR="00920DBB">
        <w:t>linewidths</w:t>
      </w:r>
      <w:proofErr w:type="spellEnd"/>
      <w:r w:rsidR="00920DBB">
        <w:t xml:space="preserve"> to push it off-resonance (i.e., as a fast shutter).</w:t>
      </w:r>
    </w:p>
    <w:p w14:paraId="5F86860B" w14:textId="7570E213" w:rsidR="00920DBB" w:rsidRDefault="00AE1444" w:rsidP="00A97D89">
      <w:pPr>
        <w:rPr>
          <w:color w:val="000000"/>
        </w:rPr>
      </w:pPr>
      <w:proofErr w:type="gramStart"/>
      <w:r>
        <w:t xml:space="preserve">These PZTs have been tested by V </w:t>
      </w:r>
      <w:proofErr w:type="spellStart"/>
      <w:r>
        <w:t>Frolov</w:t>
      </w:r>
      <w:proofErr w:type="spellEnd"/>
      <w:r>
        <w:t xml:space="preserve"> </w:t>
      </w:r>
      <w:r w:rsidR="009D7834">
        <w:t xml:space="preserve">and R </w:t>
      </w:r>
      <w:proofErr w:type="spellStart"/>
      <w:r w:rsidR="009D7834">
        <w:t>DeRosa</w:t>
      </w:r>
      <w:proofErr w:type="spellEnd"/>
      <w:proofErr w:type="gramEnd"/>
      <w:r w:rsidR="009D7834">
        <w:t xml:space="preserve"> </w:t>
      </w:r>
      <w:r>
        <w:t xml:space="preserve">for their </w:t>
      </w:r>
      <w:r w:rsidR="00C02370">
        <w:t>length-to-angle cross-</w:t>
      </w:r>
      <w:r w:rsidR="009D7834">
        <w:t>coupling</w:t>
      </w:r>
      <w:r w:rsidR="00F20EEE">
        <w:rPr>
          <w:rStyle w:val="FootnoteReference"/>
        </w:rPr>
        <w:footnoteReference w:id="2"/>
      </w:r>
      <w:r w:rsidR="009D7834">
        <w:t xml:space="preserve">. A typical measured coupling is around </w:t>
      </w:r>
      <w:r w:rsidR="00F20EEE">
        <w:t>10</w:t>
      </w:r>
      <w:r w:rsidR="009D7834">
        <w:t xml:space="preserve"> </w:t>
      </w:r>
      <w:proofErr w:type="spellStart"/>
      <w:r w:rsidR="00F20EEE" w:rsidRPr="009D7834">
        <w:rPr>
          <w:color w:val="000000"/>
        </w:rPr>
        <w:t>μ</w:t>
      </w:r>
      <w:r w:rsidR="009D7834">
        <w:t>rad</w:t>
      </w:r>
      <w:proofErr w:type="spellEnd"/>
      <w:r w:rsidR="009D7834">
        <w:t>/</w:t>
      </w:r>
      <w:proofErr w:type="spellStart"/>
      <w:r w:rsidR="009D7834" w:rsidRPr="009D7834">
        <w:rPr>
          <w:color w:val="000000"/>
        </w:rPr>
        <w:t>μm</w:t>
      </w:r>
      <w:proofErr w:type="spellEnd"/>
      <w:r w:rsidR="009D7834">
        <w:rPr>
          <w:color w:val="000000"/>
        </w:rPr>
        <w:t>,</w:t>
      </w:r>
      <w:r w:rsidR="009D7834">
        <w:rPr>
          <w:rFonts w:ascii="Lucida Grande" w:hAnsi="Lucida Grande" w:cs="Lucida Grande"/>
          <w:b/>
          <w:color w:val="000000"/>
        </w:rPr>
        <w:t xml:space="preserve"> </w:t>
      </w:r>
      <w:r w:rsidR="009D7834">
        <w:t xml:space="preserve">and of about </w:t>
      </w:r>
      <w:r w:rsidR="00C02370">
        <w:t>a dozen</w:t>
      </w:r>
      <w:r w:rsidR="009D7834">
        <w:t xml:space="preserve"> units tested, the coupling ranges from </w:t>
      </w:r>
      <w:r w:rsidR="00F20EEE">
        <w:t>6.6</w:t>
      </w:r>
      <w:r w:rsidR="009D7834">
        <w:t>—</w:t>
      </w:r>
      <w:r w:rsidR="00F20EEE">
        <w:t>50</w:t>
      </w:r>
      <w:r w:rsidR="009D7834">
        <w:t xml:space="preserve"> </w:t>
      </w:r>
      <w:proofErr w:type="spellStart"/>
      <w:r w:rsidR="00F20EEE" w:rsidRPr="009D7834">
        <w:rPr>
          <w:color w:val="000000"/>
        </w:rPr>
        <w:t>μ</w:t>
      </w:r>
      <w:r w:rsidR="009D7834">
        <w:t>rad</w:t>
      </w:r>
      <w:proofErr w:type="spellEnd"/>
      <w:r w:rsidR="009D7834">
        <w:t>/</w:t>
      </w:r>
      <w:proofErr w:type="spellStart"/>
      <w:r w:rsidR="009D7834" w:rsidRPr="009D7834">
        <w:rPr>
          <w:color w:val="000000"/>
        </w:rPr>
        <w:t>μm</w:t>
      </w:r>
      <w:proofErr w:type="spellEnd"/>
      <w:r w:rsidR="009D7834">
        <w:rPr>
          <w:color w:val="000000"/>
        </w:rPr>
        <w:t>.</w:t>
      </w:r>
      <w:r w:rsidR="00C02370">
        <w:rPr>
          <w:color w:val="000000"/>
        </w:rPr>
        <w:t xml:space="preserve"> This cross-</w:t>
      </w:r>
      <w:r w:rsidR="00F20EEE">
        <w:rPr>
          <w:color w:val="000000"/>
        </w:rPr>
        <w:t>coupling means that the cavity optic axis will shift as the actuator is displaced. Using a similar argument as above, but with a somewhat tighter tolerance for this ‘dynamic’ effect, we set a limit that the beam shift over the full stroke of the PZT</w:t>
      </w:r>
      <w:r w:rsidR="008A00F5">
        <w:rPr>
          <w:color w:val="000000"/>
        </w:rPr>
        <w:t xml:space="preserve"> (2.5 </w:t>
      </w:r>
      <w:proofErr w:type="spellStart"/>
      <w:r w:rsidR="008A00F5" w:rsidRPr="009D7834">
        <w:rPr>
          <w:color w:val="000000"/>
        </w:rPr>
        <w:t>μm</w:t>
      </w:r>
      <w:proofErr w:type="spellEnd"/>
      <w:r w:rsidR="008A00F5">
        <w:rPr>
          <w:color w:val="000000"/>
        </w:rPr>
        <w:t>)</w:t>
      </w:r>
      <w:r w:rsidR="00F20EEE">
        <w:rPr>
          <w:color w:val="000000"/>
        </w:rPr>
        <w:t xml:space="preserve"> should be no larger than 100 microns. This corr</w:t>
      </w:r>
      <w:r w:rsidR="00A75578">
        <w:rPr>
          <w:color w:val="000000"/>
        </w:rPr>
        <w:t>esponds to a changing angle of 4</w:t>
      </w:r>
      <w:r w:rsidR="00F20EEE">
        <w:rPr>
          <w:color w:val="000000"/>
        </w:rPr>
        <w:t xml:space="preserve">0 </w:t>
      </w:r>
      <w:proofErr w:type="spellStart"/>
      <w:r w:rsidR="00F20EEE" w:rsidRPr="009D7834">
        <w:rPr>
          <w:color w:val="000000"/>
        </w:rPr>
        <w:t>μ</w:t>
      </w:r>
      <w:r w:rsidR="00F20EEE">
        <w:rPr>
          <w:color w:val="000000"/>
        </w:rPr>
        <w:t>rad</w:t>
      </w:r>
      <w:proofErr w:type="spellEnd"/>
      <w:r w:rsidR="00F20EEE">
        <w:rPr>
          <w:color w:val="000000"/>
        </w:rPr>
        <w:t xml:space="preserve">, and therefore a </w:t>
      </w:r>
      <w:r w:rsidR="00A75578">
        <w:rPr>
          <w:b/>
          <w:color w:val="000000"/>
        </w:rPr>
        <w:t>cross-coupling limit of 16</w:t>
      </w:r>
      <w:r w:rsidR="00F20EEE" w:rsidRPr="00F20EEE">
        <w:rPr>
          <w:b/>
          <w:color w:val="000000"/>
        </w:rPr>
        <w:t xml:space="preserve"> </w:t>
      </w:r>
      <w:proofErr w:type="spellStart"/>
      <w:r w:rsidR="00F20EEE" w:rsidRPr="00F20EEE">
        <w:rPr>
          <w:b/>
          <w:color w:val="000000"/>
        </w:rPr>
        <w:t>μ</w:t>
      </w:r>
      <w:r w:rsidR="00F20EEE" w:rsidRPr="00F20EEE">
        <w:rPr>
          <w:b/>
        </w:rPr>
        <w:t>rad</w:t>
      </w:r>
      <w:proofErr w:type="spellEnd"/>
      <w:r w:rsidR="00F20EEE" w:rsidRPr="00F20EEE">
        <w:rPr>
          <w:b/>
        </w:rPr>
        <w:t>/</w:t>
      </w:r>
      <w:proofErr w:type="spellStart"/>
      <w:r w:rsidR="00F20EEE" w:rsidRPr="00F20EEE">
        <w:rPr>
          <w:b/>
          <w:color w:val="000000"/>
        </w:rPr>
        <w:t>μm</w:t>
      </w:r>
      <w:proofErr w:type="spellEnd"/>
      <w:r w:rsidR="00F20EEE">
        <w:rPr>
          <w:color w:val="000000"/>
        </w:rPr>
        <w:t>. We will therefore select the more uni</w:t>
      </w:r>
      <w:r w:rsidR="008A00F5">
        <w:rPr>
          <w:color w:val="000000"/>
        </w:rPr>
        <w:t>form PZTs among the batch (of 11</w:t>
      </w:r>
      <w:r w:rsidR="00F20EEE">
        <w:rPr>
          <w:color w:val="000000"/>
        </w:rPr>
        <w:t xml:space="preserve"> tested so far,</w:t>
      </w:r>
      <w:r w:rsidR="00A75578">
        <w:rPr>
          <w:color w:val="000000"/>
        </w:rPr>
        <w:t xml:space="preserve"> 6</w:t>
      </w:r>
      <w:r w:rsidR="008A00F5">
        <w:rPr>
          <w:color w:val="000000"/>
        </w:rPr>
        <w:t xml:space="preserve"> fall under this limit</w:t>
      </w:r>
      <w:r w:rsidR="00A75578">
        <w:rPr>
          <w:color w:val="000000"/>
        </w:rPr>
        <w:t xml:space="preserve"> and another 2 are very close</w:t>
      </w:r>
      <w:r w:rsidR="008A00F5">
        <w:rPr>
          <w:color w:val="000000"/>
        </w:rPr>
        <w:t>).</w:t>
      </w:r>
    </w:p>
    <w:p w14:paraId="1489863D" w14:textId="15704B78" w:rsidR="00A64A88" w:rsidRDefault="00A64A88" w:rsidP="00A97D89">
      <w:pPr>
        <w:rPr>
          <w:color w:val="000000"/>
        </w:rPr>
      </w:pPr>
      <w:r>
        <w:rPr>
          <w:b/>
          <w:i/>
          <w:color w:val="000000"/>
        </w:rPr>
        <w:t>Construction.</w:t>
      </w:r>
      <w:r>
        <w:rPr>
          <w:color w:val="000000"/>
        </w:rPr>
        <w:t xml:space="preserve"> Each actuated mirror thus consists of three pieces: 0.5" diameter curved mirror; </w:t>
      </w:r>
      <w:proofErr w:type="spellStart"/>
      <w:r>
        <w:rPr>
          <w:color w:val="000000"/>
        </w:rPr>
        <w:t>Noliac</w:t>
      </w:r>
      <w:proofErr w:type="spellEnd"/>
      <w:r>
        <w:rPr>
          <w:color w:val="000000"/>
        </w:rPr>
        <w:t xml:space="preserve"> PZT ring; mounting prism (D1102069). The assembly is shown in the figure below. </w:t>
      </w:r>
      <w:r w:rsidR="003837EC">
        <w:rPr>
          <w:color w:val="000000"/>
        </w:rPr>
        <w:t xml:space="preserve">These three elements are bonded together using </w:t>
      </w:r>
      <w:proofErr w:type="spellStart"/>
      <w:r w:rsidR="003837EC">
        <w:rPr>
          <w:color w:val="000000"/>
        </w:rPr>
        <w:t>MasterBond</w:t>
      </w:r>
      <w:proofErr w:type="spellEnd"/>
      <w:r w:rsidR="003837EC">
        <w:rPr>
          <w:color w:val="000000"/>
        </w:rPr>
        <w:t xml:space="preserve"> EP30-2 epoxy.</w:t>
      </w:r>
    </w:p>
    <w:p w14:paraId="66F78DA2" w14:textId="77777777" w:rsidR="00C223F0" w:rsidRDefault="00AE6BCB" w:rsidP="00C223F0">
      <w:pPr>
        <w:keepNext/>
      </w:pPr>
      <w:r>
        <w:rPr>
          <w:noProof/>
          <w:color w:val="000000"/>
        </w:rPr>
        <w:lastRenderedPageBreak/>
        <w:drawing>
          <wp:inline distT="0" distB="0" distL="0" distR="0" wp14:anchorId="3F91B583" wp14:editId="53ED396E">
            <wp:extent cx="6045200" cy="2463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Tmirrormount.pdf"/>
                    <pic:cNvPicPr/>
                  </pic:nvPicPr>
                  <pic:blipFill>
                    <a:blip r:embed="rId17">
                      <a:extLst>
                        <a:ext uri="{28A0092B-C50C-407E-A947-70E740481C1C}">
                          <a14:useLocalDpi xmlns:a14="http://schemas.microsoft.com/office/drawing/2010/main" val="0"/>
                        </a:ext>
                      </a:extLst>
                    </a:blip>
                    <a:stretch>
                      <a:fillRect/>
                    </a:stretch>
                  </pic:blipFill>
                  <pic:spPr>
                    <a:xfrm>
                      <a:off x="0" y="0"/>
                      <a:ext cx="6045200" cy="2463800"/>
                    </a:xfrm>
                    <a:prstGeom prst="rect">
                      <a:avLst/>
                    </a:prstGeom>
                  </pic:spPr>
                </pic:pic>
              </a:graphicData>
            </a:graphic>
          </wp:inline>
        </w:drawing>
      </w:r>
    </w:p>
    <w:p w14:paraId="100BF4D1" w14:textId="00354341" w:rsidR="003837EC" w:rsidRPr="00C223F0" w:rsidRDefault="00C223F0" w:rsidP="00C223F0">
      <w:pPr>
        <w:pStyle w:val="Caption"/>
        <w:rPr>
          <w:b w:val="0"/>
          <w:color w:val="000000"/>
          <w:sz w:val="22"/>
          <w:szCs w:val="22"/>
        </w:rPr>
      </w:pPr>
      <w:proofErr w:type="gramStart"/>
      <w:r>
        <w:t xml:space="preserve">Figure </w:t>
      </w:r>
      <w:proofErr w:type="gramEnd"/>
      <w:r>
        <w:fldChar w:fldCharType="begin"/>
      </w:r>
      <w:r>
        <w:instrText xml:space="preserve"> SEQ Figure \* ARABIC </w:instrText>
      </w:r>
      <w:r>
        <w:fldChar w:fldCharType="separate"/>
      </w:r>
      <w:r w:rsidR="00D42C52">
        <w:rPr>
          <w:noProof/>
        </w:rPr>
        <w:t>3</w:t>
      </w:r>
      <w:r>
        <w:fldChar w:fldCharType="end"/>
      </w:r>
      <w:proofErr w:type="gramStart"/>
      <w:r>
        <w:t>.</w:t>
      </w:r>
      <w:proofErr w:type="gramEnd"/>
      <w:r>
        <w:rPr>
          <w:b w:val="0"/>
          <w:sz w:val="22"/>
          <w:szCs w:val="22"/>
        </w:rPr>
        <w:t xml:space="preserve"> PZT actuated mirror mount (exploded view on left, final assembly on right). The PZT wires (not shown) are soldered to the edge/barrel of the PZT ring</w:t>
      </w:r>
      <w:r w:rsidR="00556744">
        <w:rPr>
          <w:b w:val="0"/>
          <w:sz w:val="22"/>
          <w:szCs w:val="22"/>
        </w:rPr>
        <w:t xml:space="preserve"> (solder composition: Sn96.5/Ag3.0/Cu0.5)</w:t>
      </w:r>
      <w:r>
        <w:rPr>
          <w:b w:val="0"/>
          <w:sz w:val="22"/>
          <w:szCs w:val="22"/>
        </w:rPr>
        <w:t xml:space="preserve">. The bottom edge of </w:t>
      </w:r>
      <w:r w:rsidR="00931044">
        <w:rPr>
          <w:b w:val="0"/>
          <w:sz w:val="22"/>
          <w:szCs w:val="22"/>
        </w:rPr>
        <w:t>the mounting prism (</w:t>
      </w:r>
      <w:r>
        <w:rPr>
          <w:b w:val="0"/>
          <w:sz w:val="22"/>
          <w:szCs w:val="22"/>
        </w:rPr>
        <w:t>D1102069</w:t>
      </w:r>
      <w:r w:rsidR="00931044">
        <w:rPr>
          <w:b w:val="0"/>
          <w:sz w:val="22"/>
          <w:szCs w:val="22"/>
        </w:rPr>
        <w:t>)</w:t>
      </w:r>
      <w:r>
        <w:rPr>
          <w:b w:val="0"/>
          <w:sz w:val="22"/>
          <w:szCs w:val="22"/>
        </w:rPr>
        <w:t xml:space="preserve"> is bonded to the fused silica breadboard.</w:t>
      </w:r>
    </w:p>
    <w:p w14:paraId="2FD16C6F" w14:textId="15CDB854" w:rsidR="001D0074" w:rsidRDefault="006123FD" w:rsidP="00A97D89">
      <w:r>
        <w:rPr>
          <w:b/>
          <w:i/>
        </w:rPr>
        <w:t>Shutter function.</w:t>
      </w:r>
      <w:r>
        <w:t xml:space="preserve"> </w:t>
      </w:r>
      <w:r w:rsidR="001A2A5B">
        <w:t xml:space="preserve">To protect the DC PDs from the lock-loss pulse, we need to reduce the pulse energy reaching the diodes by a factor of about 500 (50 J stored energy, 100 </w:t>
      </w:r>
      <w:proofErr w:type="spellStart"/>
      <w:r w:rsidR="001A2A5B">
        <w:t>mJ</w:t>
      </w:r>
      <w:proofErr w:type="spellEnd"/>
      <w:r w:rsidR="001A2A5B">
        <w:t xml:space="preserve"> damage limit); see LIGO-T1000294. In units of </w:t>
      </w:r>
      <w:proofErr w:type="gramStart"/>
      <w:r w:rsidR="001A2A5B">
        <w:t>free-spectral-range</w:t>
      </w:r>
      <w:proofErr w:type="gramEnd"/>
      <w:r w:rsidR="005E462F">
        <w:t xml:space="preserve"> (FSR)</w:t>
      </w:r>
      <w:r w:rsidR="001A2A5B">
        <w:t>, the transmission of the OMC is 10</w:t>
      </w:r>
      <w:r w:rsidR="001A2A5B">
        <w:rPr>
          <w:vertAlign w:val="superscript"/>
        </w:rPr>
        <w:t>-3</w:t>
      </w:r>
      <w:r w:rsidR="001A2A5B">
        <w:t xml:space="preserve"> of the resonant transmission for a cavity length shi</w:t>
      </w:r>
      <w:r w:rsidR="005E462F">
        <w:t xml:space="preserve">ft of 0.04 away from resonance (essentially, </w:t>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10</m:t>
                </m:r>
              </m:e>
              <m:sup>
                <m:r>
                  <w:rPr>
                    <w:rFonts w:ascii="Cambria Math" w:hAnsi="Cambria Math"/>
                  </w:rPr>
                  <m:t>3</m:t>
                </m:r>
              </m:sup>
            </m:sSup>
          </m:e>
        </m:rad>
        <m:r>
          <w:rPr>
            <w:rFonts w:ascii="Cambria Math" w:hAnsi="Cambria Math"/>
          </w:rPr>
          <m:t>/2F</m:t>
        </m:r>
      </m:oMath>
      <w:r w:rsidR="005E462F">
        <w:t>).</w:t>
      </w:r>
    </w:p>
    <w:p w14:paraId="751D6EDE" w14:textId="72390F0D" w:rsidR="005E462F" w:rsidRDefault="005E462F" w:rsidP="00A97D89">
      <w:pPr>
        <w:rPr>
          <w:color w:val="000000"/>
        </w:rPr>
      </w:pPr>
      <w:r>
        <w:t xml:space="preserve">The RF sidebands are </w:t>
      </w:r>
      <w:r w:rsidRPr="00FA075C">
        <w:rPr>
          <w:rFonts w:ascii="ＭＳ ゴシック" w:eastAsia="ＭＳ ゴシック" w:hAnsi="ＭＳ ゴシック"/>
          <w:color w:val="000000"/>
        </w:rPr>
        <w:t>±</w:t>
      </w:r>
      <w:r>
        <w:t xml:space="preserve">0.034 </w:t>
      </w:r>
      <w:r w:rsidR="004D5656">
        <w:t xml:space="preserve">(9 MHz) </w:t>
      </w:r>
      <w:r>
        <w:t xml:space="preserve">and </w:t>
      </w:r>
      <w:r w:rsidRPr="00FA075C">
        <w:rPr>
          <w:rFonts w:ascii="ＭＳ ゴシック" w:eastAsia="ＭＳ ゴシック" w:hAnsi="ＭＳ ゴシック"/>
          <w:color w:val="000000"/>
        </w:rPr>
        <w:t>±</w:t>
      </w:r>
      <w:r>
        <w:t xml:space="preserve">0.17 </w:t>
      </w:r>
      <w:r w:rsidR="004D5656">
        <w:t xml:space="preserve">(45 MHz) </w:t>
      </w:r>
      <w:r>
        <w:t xml:space="preserve">OMC </w:t>
      </w:r>
      <w:r w:rsidR="004D5656">
        <w:t>FSR units away from the carrier</w:t>
      </w:r>
      <w:r>
        <w:t xml:space="preserve">. The OMC </w:t>
      </w:r>
      <w:proofErr w:type="spellStart"/>
      <w:r>
        <w:t>linewidth</w:t>
      </w:r>
      <w:proofErr w:type="spellEnd"/>
      <w:r>
        <w:t xml:space="preserve"> in these units is 1/400 = 0.025. To stay away from the RF sideband resonances, we can shift the cavity length by anything in the range 0.07—0.1 FSR. Since one FSR is 532 nm of PZT motion, this corresponds to 37—53 nm of PZT motion, which is a voltage step of </w:t>
      </w:r>
      <w:r w:rsidR="004D14A6">
        <w:t xml:space="preserve">2.6—3.8 V. This voltage step should be made in &lt; 100 </w:t>
      </w:r>
      <w:proofErr w:type="spellStart"/>
      <w:r w:rsidR="004D14A6" w:rsidRPr="009D7834">
        <w:rPr>
          <w:color w:val="000000"/>
        </w:rPr>
        <w:t>μ</w:t>
      </w:r>
      <w:r w:rsidR="004D14A6">
        <w:rPr>
          <w:color w:val="000000"/>
        </w:rPr>
        <w:t>sec</w:t>
      </w:r>
      <w:proofErr w:type="spellEnd"/>
      <w:r w:rsidR="004D14A6">
        <w:rPr>
          <w:color w:val="000000"/>
        </w:rPr>
        <w:t>.</w:t>
      </w:r>
    </w:p>
    <w:p w14:paraId="1039B0AC" w14:textId="4265C899" w:rsidR="001D0074" w:rsidRDefault="004D14A6" w:rsidP="00A97D89">
      <w:r>
        <w:rPr>
          <w:b/>
          <w:i/>
          <w:color w:val="000000"/>
        </w:rPr>
        <w:t>Dither modulation.</w:t>
      </w:r>
      <w:r>
        <w:rPr>
          <w:color w:val="000000"/>
        </w:rPr>
        <w:t xml:space="preserve"> </w:t>
      </w:r>
      <w:r w:rsidR="00D43B30">
        <w:rPr>
          <w:color w:val="000000"/>
        </w:rPr>
        <w:t xml:space="preserve">Dither modulation of the OMC length is used to sense the OMC resonance. The dither is a sine-wave modulation, designed to be applied in the frequency range of 5—20 kHz, and with a maximum amplitude </w:t>
      </w:r>
      <w:r w:rsidR="00C01CFB">
        <w:rPr>
          <w:color w:val="000000"/>
        </w:rPr>
        <w:t xml:space="preserve">such that peak excursion goes to the 90% transmission point of the resonance curve (normally the dither amplitude will be much smaller than this). This corresponds to </w:t>
      </w:r>
      <w:proofErr w:type="gramStart"/>
      <w:r w:rsidR="00C01CFB">
        <w:rPr>
          <w:color w:val="000000"/>
        </w:rPr>
        <w:t>a maximum</w:t>
      </w:r>
      <w:proofErr w:type="gramEnd"/>
      <w:r w:rsidR="00C01CFB">
        <w:rPr>
          <w:color w:val="000000"/>
        </w:rPr>
        <w:t xml:space="preserve"> dither amplitude of 0.22 nm, or 16 mV-</w:t>
      </w:r>
      <w:proofErr w:type="spellStart"/>
      <w:r w:rsidR="00C01CFB">
        <w:rPr>
          <w:color w:val="000000"/>
        </w:rPr>
        <w:t>pk</w:t>
      </w:r>
      <w:proofErr w:type="spellEnd"/>
      <w:r w:rsidR="00C01CFB">
        <w:rPr>
          <w:color w:val="000000"/>
        </w:rPr>
        <w:t xml:space="preserve"> of drive.</w:t>
      </w:r>
    </w:p>
    <w:p w14:paraId="60E2A320" w14:textId="74254FC6" w:rsidR="004931EA" w:rsidRDefault="001929FE" w:rsidP="004931EA">
      <w:pPr>
        <w:pStyle w:val="Heading1"/>
      </w:pPr>
      <w:r>
        <w:t>Photodiodes &amp; mounting</w:t>
      </w:r>
    </w:p>
    <w:p w14:paraId="006369E1" w14:textId="1F796835" w:rsidR="009820EC" w:rsidRDefault="004F5E39" w:rsidP="009820EC">
      <w:r>
        <w:t xml:space="preserve">The </w:t>
      </w:r>
      <w:r w:rsidR="007B513F">
        <w:t xml:space="preserve">properties of the </w:t>
      </w:r>
      <w:r>
        <w:t xml:space="preserve">photodiodes for the DC readout </w:t>
      </w:r>
      <w:r w:rsidR="007B513F">
        <w:t>and the quadrant</w:t>
      </w:r>
      <w:r>
        <w:t>s are</w:t>
      </w:r>
      <w:r w:rsidR="007B513F">
        <w:t xml:space="preserve"> shown in the table below. It is important to operate the diodes at a non-zero angle-of-incidence (AOI) so that the specular reflection can be properly dumped. The response versus AOI for 2 mm versions of the C30655 diodes has been measured and is reported in </w:t>
      </w:r>
      <w:hyperlink r:id="rId18" w:history="1">
        <w:r w:rsidR="007B513F" w:rsidRPr="007B513F">
          <w:rPr>
            <w:rStyle w:val="Hyperlink"/>
          </w:rPr>
          <w:t>T1100564</w:t>
        </w:r>
      </w:hyperlink>
      <w:r w:rsidR="007B513F">
        <w:t>. With no window, the response of the diode is quite flat up to at least 25 degrees AOI.</w:t>
      </w:r>
    </w:p>
    <w:tbl>
      <w:tblPr>
        <w:tblStyle w:val="TableSimple2"/>
        <w:tblW w:w="7817" w:type="dxa"/>
        <w:jc w:val="center"/>
        <w:tblLook w:val="04A0" w:firstRow="1" w:lastRow="0" w:firstColumn="1" w:lastColumn="0" w:noHBand="0" w:noVBand="1"/>
      </w:tblPr>
      <w:tblGrid>
        <w:gridCol w:w="1813"/>
        <w:gridCol w:w="3027"/>
        <w:gridCol w:w="2977"/>
      </w:tblGrid>
      <w:tr w:rsidR="00674D15" w14:paraId="31AF19CA" w14:textId="77777777" w:rsidTr="00A57AE2">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584" w:type="dxa"/>
          </w:tcPr>
          <w:p w14:paraId="4CC9B327" w14:textId="77777777" w:rsidR="00674D15" w:rsidRPr="00A57AE2" w:rsidRDefault="00674D15" w:rsidP="00A57AE2">
            <w:pPr>
              <w:keepNext/>
              <w:rPr>
                <w:rFonts w:asciiTheme="majorHAnsi" w:hAnsiTheme="majorHAnsi"/>
              </w:rPr>
            </w:pPr>
          </w:p>
        </w:tc>
        <w:tc>
          <w:tcPr>
            <w:tcW w:w="2646" w:type="dxa"/>
            <w:tcBorders>
              <w:right w:val="single" w:sz="12" w:space="0" w:color="auto"/>
            </w:tcBorders>
          </w:tcPr>
          <w:p w14:paraId="70EABFAC" w14:textId="6D5152BA" w:rsidR="00674D15" w:rsidRPr="00A57AE2" w:rsidRDefault="00A57AE2" w:rsidP="00A57AE2">
            <w:pPr>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A57AE2">
              <w:rPr>
                <w:rFonts w:asciiTheme="majorHAnsi" w:hAnsiTheme="majorHAnsi"/>
              </w:rPr>
              <w:t>DC PD</w:t>
            </w:r>
          </w:p>
        </w:tc>
        <w:tc>
          <w:tcPr>
            <w:tcW w:w="2602" w:type="dxa"/>
            <w:tcBorders>
              <w:left w:val="single" w:sz="12" w:space="0" w:color="auto"/>
            </w:tcBorders>
          </w:tcPr>
          <w:p w14:paraId="78C827E3" w14:textId="63DF8F53" w:rsidR="00674D15" w:rsidRPr="00A57AE2" w:rsidRDefault="00A57AE2" w:rsidP="00A57AE2">
            <w:pPr>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A57AE2">
              <w:rPr>
                <w:rFonts w:asciiTheme="majorHAnsi" w:hAnsiTheme="majorHAnsi"/>
              </w:rPr>
              <w:t>QPD</w:t>
            </w:r>
          </w:p>
        </w:tc>
      </w:tr>
      <w:tr w:rsidR="00674D15" w14:paraId="733EAEC2" w14:textId="77777777" w:rsidTr="00A57AE2">
        <w:trPr>
          <w:cantSplit/>
          <w:jc w:val="center"/>
        </w:trPr>
        <w:tc>
          <w:tcPr>
            <w:cnfStyle w:val="001000000000" w:firstRow="0" w:lastRow="0" w:firstColumn="1" w:lastColumn="0" w:oddVBand="0" w:evenVBand="0" w:oddHBand="0" w:evenHBand="0" w:firstRowFirstColumn="0" w:firstRowLastColumn="0" w:lastRowFirstColumn="0" w:lastRowLastColumn="0"/>
            <w:tcW w:w="1584" w:type="dxa"/>
            <w:tcBorders>
              <w:top w:val="single" w:sz="12" w:space="0" w:color="000000"/>
              <w:bottom w:val="single" w:sz="4" w:space="0" w:color="auto"/>
            </w:tcBorders>
          </w:tcPr>
          <w:p w14:paraId="257D2AA2" w14:textId="128A3EA5" w:rsidR="00674D15" w:rsidRPr="00A57AE2" w:rsidRDefault="00A57AE2" w:rsidP="00A57AE2">
            <w:pPr>
              <w:keepNext/>
              <w:rPr>
                <w:rFonts w:asciiTheme="majorHAnsi" w:hAnsiTheme="majorHAnsi"/>
              </w:rPr>
            </w:pPr>
            <w:r w:rsidRPr="00A57AE2">
              <w:rPr>
                <w:rFonts w:asciiTheme="majorHAnsi" w:hAnsiTheme="majorHAnsi"/>
              </w:rPr>
              <w:t>Model</w:t>
            </w:r>
          </w:p>
        </w:tc>
        <w:tc>
          <w:tcPr>
            <w:tcW w:w="2646" w:type="dxa"/>
            <w:tcBorders>
              <w:top w:val="single" w:sz="12" w:space="0" w:color="000000"/>
              <w:bottom w:val="single" w:sz="4" w:space="0" w:color="auto"/>
              <w:right w:val="single" w:sz="12" w:space="0" w:color="auto"/>
            </w:tcBorders>
          </w:tcPr>
          <w:p w14:paraId="4DD950EF" w14:textId="286FC106" w:rsidR="00674D15" w:rsidRPr="00A57AE2" w:rsidRDefault="00A57AE2" w:rsidP="00A57AE2">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roofErr w:type="spellStart"/>
            <w:r w:rsidRPr="00A57AE2">
              <w:rPr>
                <w:rFonts w:asciiTheme="majorHAnsi" w:hAnsiTheme="majorHAnsi"/>
              </w:rPr>
              <w:t>Excelitas</w:t>
            </w:r>
            <w:proofErr w:type="spellEnd"/>
            <w:r w:rsidRPr="00A57AE2">
              <w:rPr>
                <w:rFonts w:asciiTheme="majorHAnsi" w:hAnsiTheme="majorHAnsi"/>
              </w:rPr>
              <w:t xml:space="preserve"> C30655</w:t>
            </w:r>
          </w:p>
        </w:tc>
        <w:tc>
          <w:tcPr>
            <w:tcW w:w="2602" w:type="dxa"/>
            <w:tcBorders>
              <w:top w:val="single" w:sz="12" w:space="0" w:color="000000"/>
              <w:left w:val="single" w:sz="12" w:space="0" w:color="auto"/>
              <w:bottom w:val="single" w:sz="4" w:space="0" w:color="auto"/>
            </w:tcBorders>
          </w:tcPr>
          <w:p w14:paraId="2502B0A0" w14:textId="624CCE2E" w:rsidR="00674D15" w:rsidRPr="00A57AE2" w:rsidRDefault="00A57AE2" w:rsidP="00A57AE2">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57AE2">
              <w:rPr>
                <w:rFonts w:asciiTheme="majorHAnsi" w:hAnsiTheme="majorHAnsi"/>
              </w:rPr>
              <w:t>OSI Q3000</w:t>
            </w:r>
          </w:p>
        </w:tc>
      </w:tr>
      <w:tr w:rsidR="00674D15" w14:paraId="344300D1" w14:textId="77777777" w:rsidTr="00A57AE2">
        <w:trPr>
          <w:cantSplit/>
          <w:jc w:val="center"/>
        </w:trPr>
        <w:tc>
          <w:tcPr>
            <w:cnfStyle w:val="001000000000" w:firstRow="0" w:lastRow="0" w:firstColumn="1" w:lastColumn="0" w:oddVBand="0" w:evenVBand="0" w:oddHBand="0" w:evenHBand="0" w:firstRowFirstColumn="0" w:firstRowLastColumn="0" w:lastRowFirstColumn="0" w:lastRowLastColumn="0"/>
            <w:tcW w:w="1584" w:type="dxa"/>
            <w:tcBorders>
              <w:top w:val="single" w:sz="4" w:space="0" w:color="auto"/>
              <w:bottom w:val="single" w:sz="4" w:space="0" w:color="auto"/>
            </w:tcBorders>
          </w:tcPr>
          <w:p w14:paraId="46C33100" w14:textId="5C91EB19" w:rsidR="00674D15" w:rsidRPr="00A57AE2" w:rsidRDefault="00A57AE2" w:rsidP="00A57AE2">
            <w:pPr>
              <w:keepNext/>
              <w:rPr>
                <w:rFonts w:asciiTheme="majorHAnsi" w:hAnsiTheme="majorHAnsi"/>
              </w:rPr>
            </w:pPr>
            <w:r w:rsidRPr="00A57AE2">
              <w:rPr>
                <w:rFonts w:asciiTheme="majorHAnsi" w:hAnsiTheme="majorHAnsi"/>
              </w:rPr>
              <w:t>Type</w:t>
            </w:r>
          </w:p>
        </w:tc>
        <w:tc>
          <w:tcPr>
            <w:tcW w:w="2646" w:type="dxa"/>
            <w:tcBorders>
              <w:top w:val="single" w:sz="4" w:space="0" w:color="auto"/>
              <w:bottom w:val="single" w:sz="4" w:space="0" w:color="auto"/>
              <w:right w:val="single" w:sz="12" w:space="0" w:color="auto"/>
            </w:tcBorders>
          </w:tcPr>
          <w:p w14:paraId="493BB5D3" w14:textId="378EB418" w:rsidR="00674D15" w:rsidRPr="00A57AE2" w:rsidRDefault="00A57AE2" w:rsidP="00A57AE2">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roofErr w:type="spellStart"/>
            <w:r w:rsidRPr="00A57AE2">
              <w:rPr>
                <w:rFonts w:asciiTheme="majorHAnsi" w:hAnsiTheme="majorHAnsi"/>
              </w:rPr>
              <w:t>InGaAs</w:t>
            </w:r>
            <w:proofErr w:type="spellEnd"/>
          </w:p>
        </w:tc>
        <w:tc>
          <w:tcPr>
            <w:tcW w:w="2602" w:type="dxa"/>
            <w:tcBorders>
              <w:top w:val="single" w:sz="4" w:space="0" w:color="auto"/>
              <w:left w:val="single" w:sz="12" w:space="0" w:color="auto"/>
              <w:bottom w:val="single" w:sz="4" w:space="0" w:color="auto"/>
            </w:tcBorders>
          </w:tcPr>
          <w:p w14:paraId="12BB3DEA" w14:textId="789FE072" w:rsidR="00674D15" w:rsidRPr="00A57AE2" w:rsidRDefault="00A57AE2" w:rsidP="00A57AE2">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roofErr w:type="spellStart"/>
            <w:r w:rsidRPr="00A57AE2">
              <w:rPr>
                <w:rFonts w:asciiTheme="majorHAnsi" w:hAnsiTheme="majorHAnsi"/>
              </w:rPr>
              <w:t>InGaAs</w:t>
            </w:r>
            <w:proofErr w:type="spellEnd"/>
          </w:p>
        </w:tc>
      </w:tr>
      <w:tr w:rsidR="00674D15" w14:paraId="741E2221" w14:textId="77777777" w:rsidTr="00A57AE2">
        <w:trPr>
          <w:cantSplit/>
          <w:jc w:val="center"/>
        </w:trPr>
        <w:tc>
          <w:tcPr>
            <w:cnfStyle w:val="001000000000" w:firstRow="0" w:lastRow="0" w:firstColumn="1" w:lastColumn="0" w:oddVBand="0" w:evenVBand="0" w:oddHBand="0" w:evenHBand="0" w:firstRowFirstColumn="0" w:firstRowLastColumn="0" w:lastRowFirstColumn="0" w:lastRowLastColumn="0"/>
            <w:tcW w:w="1584" w:type="dxa"/>
            <w:tcBorders>
              <w:top w:val="single" w:sz="4" w:space="0" w:color="auto"/>
              <w:bottom w:val="single" w:sz="4" w:space="0" w:color="auto"/>
            </w:tcBorders>
          </w:tcPr>
          <w:p w14:paraId="09831E5B" w14:textId="64F50FE5" w:rsidR="00674D15" w:rsidRPr="00A57AE2" w:rsidRDefault="00A57AE2" w:rsidP="00A57AE2">
            <w:pPr>
              <w:keepNext/>
              <w:rPr>
                <w:rFonts w:asciiTheme="majorHAnsi" w:hAnsiTheme="majorHAnsi"/>
              </w:rPr>
            </w:pPr>
            <w:r w:rsidRPr="00A57AE2">
              <w:rPr>
                <w:rFonts w:asciiTheme="majorHAnsi" w:hAnsiTheme="majorHAnsi"/>
              </w:rPr>
              <w:t>Diameter</w:t>
            </w:r>
          </w:p>
        </w:tc>
        <w:tc>
          <w:tcPr>
            <w:tcW w:w="2646" w:type="dxa"/>
            <w:tcBorders>
              <w:top w:val="single" w:sz="4" w:space="0" w:color="auto"/>
              <w:bottom w:val="single" w:sz="4" w:space="0" w:color="auto"/>
              <w:right w:val="single" w:sz="12" w:space="0" w:color="auto"/>
            </w:tcBorders>
          </w:tcPr>
          <w:p w14:paraId="06304707" w14:textId="28726C8D" w:rsidR="00674D15" w:rsidRPr="00A57AE2" w:rsidRDefault="00A57AE2" w:rsidP="00A57AE2">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57AE2">
              <w:rPr>
                <w:rFonts w:asciiTheme="majorHAnsi" w:hAnsiTheme="majorHAnsi"/>
              </w:rPr>
              <w:t>3 mm</w:t>
            </w:r>
          </w:p>
        </w:tc>
        <w:tc>
          <w:tcPr>
            <w:tcW w:w="2602" w:type="dxa"/>
            <w:tcBorders>
              <w:top w:val="single" w:sz="4" w:space="0" w:color="auto"/>
              <w:left w:val="single" w:sz="12" w:space="0" w:color="auto"/>
              <w:bottom w:val="single" w:sz="4" w:space="0" w:color="auto"/>
            </w:tcBorders>
          </w:tcPr>
          <w:p w14:paraId="05219357" w14:textId="48BB2FDE" w:rsidR="00674D15" w:rsidRPr="00A57AE2" w:rsidRDefault="00A57AE2" w:rsidP="00A57AE2">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57AE2">
              <w:rPr>
                <w:rFonts w:asciiTheme="majorHAnsi" w:hAnsiTheme="majorHAnsi"/>
              </w:rPr>
              <w:t>3 mm</w:t>
            </w:r>
          </w:p>
        </w:tc>
      </w:tr>
      <w:tr w:rsidR="00674D15" w14:paraId="663E573F" w14:textId="77777777" w:rsidTr="00A57AE2">
        <w:trPr>
          <w:cantSplit/>
          <w:jc w:val="center"/>
        </w:trPr>
        <w:tc>
          <w:tcPr>
            <w:cnfStyle w:val="001000000000" w:firstRow="0" w:lastRow="0" w:firstColumn="1" w:lastColumn="0" w:oddVBand="0" w:evenVBand="0" w:oddHBand="0" w:evenHBand="0" w:firstRowFirstColumn="0" w:firstRowLastColumn="0" w:lastRowFirstColumn="0" w:lastRowLastColumn="0"/>
            <w:tcW w:w="1584" w:type="dxa"/>
            <w:tcBorders>
              <w:top w:val="single" w:sz="4" w:space="0" w:color="auto"/>
              <w:bottom w:val="single" w:sz="4" w:space="0" w:color="auto"/>
            </w:tcBorders>
          </w:tcPr>
          <w:p w14:paraId="43104EAA" w14:textId="6A6BBB72" w:rsidR="00674D15" w:rsidRPr="00A57AE2" w:rsidRDefault="00A57AE2" w:rsidP="00A57AE2">
            <w:pPr>
              <w:keepNext/>
              <w:rPr>
                <w:rFonts w:asciiTheme="majorHAnsi" w:hAnsiTheme="majorHAnsi"/>
              </w:rPr>
            </w:pPr>
            <w:r>
              <w:rPr>
                <w:rFonts w:asciiTheme="majorHAnsi" w:hAnsiTheme="majorHAnsi"/>
              </w:rPr>
              <w:t>Window</w:t>
            </w:r>
          </w:p>
        </w:tc>
        <w:tc>
          <w:tcPr>
            <w:tcW w:w="2646" w:type="dxa"/>
            <w:tcBorders>
              <w:top w:val="single" w:sz="4" w:space="0" w:color="auto"/>
              <w:bottom w:val="single" w:sz="4" w:space="0" w:color="auto"/>
              <w:right w:val="single" w:sz="12" w:space="0" w:color="auto"/>
            </w:tcBorders>
          </w:tcPr>
          <w:p w14:paraId="63A6A134" w14:textId="3803DDF3" w:rsidR="00674D15" w:rsidRPr="00A57AE2" w:rsidRDefault="00CF32C1" w:rsidP="00A57AE2">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roofErr w:type="gramStart"/>
            <w:r>
              <w:rPr>
                <w:rFonts w:asciiTheme="majorHAnsi" w:hAnsiTheme="majorHAnsi"/>
              </w:rPr>
              <w:t>r</w:t>
            </w:r>
            <w:r w:rsidR="00A57AE2">
              <w:rPr>
                <w:rFonts w:asciiTheme="majorHAnsi" w:hAnsiTheme="majorHAnsi"/>
              </w:rPr>
              <w:t>emoved</w:t>
            </w:r>
            <w:proofErr w:type="gramEnd"/>
          </w:p>
        </w:tc>
        <w:tc>
          <w:tcPr>
            <w:tcW w:w="2602" w:type="dxa"/>
            <w:tcBorders>
              <w:top w:val="single" w:sz="4" w:space="0" w:color="auto"/>
              <w:left w:val="single" w:sz="12" w:space="0" w:color="auto"/>
              <w:bottom w:val="single" w:sz="4" w:space="0" w:color="auto"/>
            </w:tcBorders>
          </w:tcPr>
          <w:p w14:paraId="0A8332BE" w14:textId="13F7B8E6" w:rsidR="00674D15" w:rsidRPr="00A57AE2" w:rsidRDefault="00A57AE2" w:rsidP="00A57AE2">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roofErr w:type="gramStart"/>
            <w:r>
              <w:rPr>
                <w:rFonts w:asciiTheme="majorHAnsi" w:hAnsiTheme="majorHAnsi"/>
              </w:rPr>
              <w:t>yes</w:t>
            </w:r>
            <w:proofErr w:type="gramEnd"/>
          </w:p>
        </w:tc>
      </w:tr>
      <w:tr w:rsidR="00A57AE2" w14:paraId="37072215" w14:textId="77777777" w:rsidTr="001D67EC">
        <w:trPr>
          <w:cantSplit/>
          <w:jc w:val="center"/>
        </w:trPr>
        <w:tc>
          <w:tcPr>
            <w:cnfStyle w:val="001000000000" w:firstRow="0" w:lastRow="0" w:firstColumn="1" w:lastColumn="0" w:oddVBand="0" w:evenVBand="0" w:oddHBand="0" w:evenHBand="0" w:firstRowFirstColumn="0" w:firstRowLastColumn="0" w:lastRowFirstColumn="0" w:lastRowLastColumn="0"/>
            <w:tcW w:w="1584" w:type="dxa"/>
            <w:tcBorders>
              <w:top w:val="single" w:sz="4" w:space="0" w:color="auto"/>
              <w:bottom w:val="single" w:sz="4" w:space="0" w:color="auto"/>
            </w:tcBorders>
          </w:tcPr>
          <w:p w14:paraId="33B50D36" w14:textId="3C8460A1" w:rsidR="00A57AE2" w:rsidRDefault="00A57AE2" w:rsidP="007B513F">
            <w:pPr>
              <w:keepNext/>
              <w:rPr>
                <w:rFonts w:asciiTheme="majorHAnsi" w:hAnsiTheme="majorHAnsi"/>
              </w:rPr>
            </w:pPr>
            <w:r>
              <w:rPr>
                <w:rFonts w:asciiTheme="majorHAnsi" w:hAnsiTheme="majorHAnsi"/>
              </w:rPr>
              <w:t>Beam diameter</w:t>
            </w:r>
          </w:p>
        </w:tc>
        <w:tc>
          <w:tcPr>
            <w:tcW w:w="2646" w:type="dxa"/>
            <w:tcBorders>
              <w:top w:val="single" w:sz="4" w:space="0" w:color="auto"/>
              <w:bottom w:val="single" w:sz="4" w:space="0" w:color="auto"/>
              <w:right w:val="single" w:sz="12" w:space="0" w:color="auto"/>
            </w:tcBorders>
          </w:tcPr>
          <w:p w14:paraId="43C88ECF" w14:textId="6D2DC303" w:rsidR="00A57AE2" w:rsidRPr="001D67EC" w:rsidRDefault="001D67EC" w:rsidP="007B513F">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1.04 mm (1/</w:t>
            </w:r>
            <w:r>
              <w:rPr>
                <w:rFonts w:asciiTheme="majorHAnsi" w:hAnsiTheme="majorHAnsi"/>
                <w:i/>
              </w:rPr>
              <w:t>e</w:t>
            </w:r>
            <w:r>
              <w:rPr>
                <w:rFonts w:asciiTheme="majorHAnsi" w:hAnsiTheme="majorHAnsi"/>
                <w:vertAlign w:val="superscript"/>
              </w:rPr>
              <w:t>2</w:t>
            </w:r>
            <w:r>
              <w:rPr>
                <w:rFonts w:asciiTheme="majorHAnsi" w:hAnsiTheme="majorHAnsi"/>
              </w:rPr>
              <w:t>)</w:t>
            </w:r>
          </w:p>
        </w:tc>
        <w:tc>
          <w:tcPr>
            <w:tcW w:w="2602" w:type="dxa"/>
            <w:tcBorders>
              <w:top w:val="single" w:sz="4" w:space="0" w:color="auto"/>
              <w:left w:val="single" w:sz="12" w:space="0" w:color="auto"/>
              <w:bottom w:val="single" w:sz="4" w:space="0" w:color="auto"/>
            </w:tcBorders>
          </w:tcPr>
          <w:p w14:paraId="001B6BE7" w14:textId="68548612" w:rsidR="00A57AE2" w:rsidRDefault="001D67EC" w:rsidP="007B513F">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0.98 mm &amp; </w:t>
            </w:r>
            <w:proofErr w:type="gramStart"/>
            <w:r>
              <w:rPr>
                <w:rFonts w:asciiTheme="majorHAnsi" w:hAnsiTheme="majorHAnsi"/>
              </w:rPr>
              <w:t>1.2  mm</w:t>
            </w:r>
            <w:proofErr w:type="gramEnd"/>
          </w:p>
        </w:tc>
      </w:tr>
      <w:tr w:rsidR="007B513F" w14:paraId="053A02E2" w14:textId="77777777" w:rsidTr="001D67EC">
        <w:trPr>
          <w:cantSplit/>
          <w:jc w:val="center"/>
        </w:trPr>
        <w:tc>
          <w:tcPr>
            <w:cnfStyle w:val="001000000000" w:firstRow="0" w:lastRow="0" w:firstColumn="1" w:lastColumn="0" w:oddVBand="0" w:evenVBand="0" w:oddHBand="0" w:evenHBand="0" w:firstRowFirstColumn="0" w:firstRowLastColumn="0" w:lastRowFirstColumn="0" w:lastRowLastColumn="0"/>
            <w:tcW w:w="1584" w:type="dxa"/>
            <w:tcBorders>
              <w:top w:val="single" w:sz="4" w:space="0" w:color="auto"/>
              <w:bottom w:val="single" w:sz="12" w:space="0" w:color="auto"/>
            </w:tcBorders>
          </w:tcPr>
          <w:p w14:paraId="08278B1D" w14:textId="1D8D4283" w:rsidR="007B513F" w:rsidRDefault="007B513F" w:rsidP="009820EC">
            <w:pPr>
              <w:rPr>
                <w:rFonts w:asciiTheme="majorHAnsi" w:hAnsiTheme="majorHAnsi"/>
              </w:rPr>
            </w:pPr>
            <w:r>
              <w:rPr>
                <w:rFonts w:asciiTheme="majorHAnsi" w:hAnsiTheme="majorHAnsi"/>
              </w:rPr>
              <w:t>AOI</w:t>
            </w:r>
          </w:p>
        </w:tc>
        <w:tc>
          <w:tcPr>
            <w:tcW w:w="2646" w:type="dxa"/>
            <w:tcBorders>
              <w:top w:val="single" w:sz="4" w:space="0" w:color="auto"/>
              <w:bottom w:val="single" w:sz="12" w:space="0" w:color="auto"/>
              <w:right w:val="single" w:sz="12" w:space="0" w:color="auto"/>
            </w:tcBorders>
          </w:tcPr>
          <w:p w14:paraId="70107C2C" w14:textId="0DA83FB4" w:rsidR="007B513F" w:rsidRDefault="001D67EC" w:rsidP="00A57AE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10 deg.</w:t>
            </w:r>
          </w:p>
        </w:tc>
        <w:tc>
          <w:tcPr>
            <w:tcW w:w="2602" w:type="dxa"/>
            <w:tcBorders>
              <w:top w:val="single" w:sz="4" w:space="0" w:color="auto"/>
              <w:left w:val="single" w:sz="12" w:space="0" w:color="auto"/>
              <w:bottom w:val="single" w:sz="12" w:space="0" w:color="auto"/>
            </w:tcBorders>
          </w:tcPr>
          <w:p w14:paraId="43789D5E" w14:textId="0AA083BB" w:rsidR="007B513F" w:rsidRDefault="001D67EC" w:rsidP="00D42C52">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10 deg.</w:t>
            </w:r>
          </w:p>
        </w:tc>
      </w:tr>
    </w:tbl>
    <w:p w14:paraId="6A27B4A6" w14:textId="0FA11285" w:rsidR="00674D15" w:rsidRDefault="00D42C52" w:rsidP="00D42C52">
      <w:pPr>
        <w:pStyle w:val="Caption"/>
        <w:jc w:val="center"/>
        <w:rPr>
          <w:b w:val="0"/>
          <w:sz w:val="22"/>
        </w:rPr>
      </w:pPr>
      <w:proofErr w:type="gramStart"/>
      <w:r>
        <w:t xml:space="preserve">Table </w:t>
      </w:r>
      <w:fldSimple w:instr=" SEQ Table \* ARABIC ">
        <w:r>
          <w:rPr>
            <w:noProof/>
          </w:rPr>
          <w:t>2</w:t>
        </w:r>
      </w:fldSimple>
      <w:r>
        <w:t>.</w:t>
      </w:r>
      <w:proofErr w:type="gramEnd"/>
      <w:r>
        <w:rPr>
          <w:b w:val="0"/>
          <w:sz w:val="22"/>
        </w:rPr>
        <w:t xml:space="preserve"> Properties of the photodiodes used on the OMC.</w:t>
      </w:r>
    </w:p>
    <w:p w14:paraId="31504053" w14:textId="77777777" w:rsidR="00D42C52" w:rsidRPr="00D42C52" w:rsidRDefault="00D42C52" w:rsidP="00D42C52"/>
    <w:p w14:paraId="2A786C6F" w14:textId="0E385747" w:rsidR="00222EF5" w:rsidRDefault="00222EF5" w:rsidP="00222EF5">
      <w:r>
        <w:t xml:space="preserve">The mount for the DC PD is shown in </w:t>
      </w:r>
      <w:r>
        <w:fldChar w:fldCharType="begin"/>
      </w:r>
      <w:r>
        <w:instrText xml:space="preserve"> REF _Ref220730674 \h </w:instrText>
      </w:r>
      <w:r>
        <w:fldChar w:fldCharType="separate"/>
      </w:r>
      <w:r w:rsidR="00D42C52">
        <w:t xml:space="preserve">Figure </w:t>
      </w:r>
      <w:r w:rsidR="00D42C52">
        <w:rPr>
          <w:noProof/>
        </w:rPr>
        <w:t>4</w:t>
      </w:r>
      <w:r>
        <w:fldChar w:fldCharType="end"/>
      </w:r>
      <w:r>
        <w:t xml:space="preserve">. </w:t>
      </w:r>
      <w:r w:rsidR="00EE1C57">
        <w:t>Once the cavity has been bonded to the breadboard, t</w:t>
      </w:r>
      <w:r w:rsidRPr="00222EF5">
        <w:t xml:space="preserve">he </w:t>
      </w:r>
      <w:r w:rsidR="00EE1C57">
        <w:t xml:space="preserve">DCPDs are mounted and the </w:t>
      </w:r>
      <w:r w:rsidRPr="00222EF5">
        <w:t xml:space="preserve">precise </w:t>
      </w:r>
      <w:r w:rsidR="00EE1C57">
        <w:t>position of each diode is aligned to</w:t>
      </w:r>
      <w:r w:rsidRPr="00222EF5">
        <w:t xml:space="preserve"> the </w:t>
      </w:r>
      <w:r w:rsidR="00EE1C57">
        <w:t xml:space="preserve">cavity output </w:t>
      </w:r>
      <w:r w:rsidRPr="00222EF5">
        <w:t xml:space="preserve">beam using the adjustment capabilities of the mount. </w:t>
      </w:r>
      <w:r w:rsidR="00C90541">
        <w:t xml:space="preserve">A beam centering tolerance of 0.5 mm is aimed for. </w:t>
      </w:r>
      <w:r w:rsidRPr="00222EF5">
        <w:t>The horizontal</w:t>
      </w:r>
      <w:r>
        <w:t xml:space="preserve"> </w:t>
      </w:r>
      <w:r w:rsidRPr="00222EF5">
        <w:t>position of the diode is adjusted by moving the housing within the</w:t>
      </w:r>
      <w:r>
        <w:t xml:space="preserve"> </w:t>
      </w:r>
      <w:r w:rsidRPr="00222EF5">
        <w:t xml:space="preserve">range of the mounting slots. The vertical position is adjusted </w:t>
      </w:r>
      <w:r w:rsidR="00EE1C57">
        <w:t>using an</w:t>
      </w:r>
      <w:r w:rsidRPr="00222EF5">
        <w:t xml:space="preserve"> aluminum shim </w:t>
      </w:r>
      <w:r w:rsidR="00EE1C57">
        <w:t xml:space="preserve">(various thicknesses available) </w:t>
      </w:r>
      <w:r w:rsidRPr="00222EF5">
        <w:t xml:space="preserve">between the glass mount block and the housing. Once the housings are </w:t>
      </w:r>
      <w:r w:rsidR="00EE1C57">
        <w:t>aligned to</w:t>
      </w:r>
      <w:r w:rsidRPr="00222EF5">
        <w:t xml:space="preserve"> the beam,</w:t>
      </w:r>
      <w:r>
        <w:t xml:space="preserve"> </w:t>
      </w:r>
      <w:r w:rsidRPr="00222EF5">
        <w:t xml:space="preserve">they </w:t>
      </w:r>
      <w:proofErr w:type="gramStart"/>
      <w:r w:rsidRPr="00222EF5">
        <w:t xml:space="preserve">are </w:t>
      </w:r>
      <w:r w:rsidR="00EE1C57">
        <w:t>not intended to be moved</w:t>
      </w:r>
      <w:proofErr w:type="gramEnd"/>
      <w:r w:rsidR="00EE1C57">
        <w:t xml:space="preserve"> again. A diode</w:t>
      </w:r>
      <w:r w:rsidRPr="00222EF5">
        <w:t xml:space="preserve"> can be replaced</w:t>
      </w:r>
      <w:r w:rsidR="00EE1C57">
        <w:t>,</w:t>
      </w:r>
      <w:r>
        <w:t xml:space="preserve"> </w:t>
      </w:r>
      <w:r w:rsidRPr="00222EF5">
        <w:t>without moving the housing</w:t>
      </w:r>
      <w:r w:rsidR="00EE1C57">
        <w:t>, by simply removing the retaining ring and inserting a new diode into the socket</w:t>
      </w:r>
      <w:r w:rsidRPr="00222EF5">
        <w:t>.</w:t>
      </w:r>
      <w:r w:rsidR="00FC137F">
        <w:t xml:space="preserve"> This approach relies on the diode elements being </w:t>
      </w:r>
      <w:proofErr w:type="gramStart"/>
      <w:r w:rsidR="00FC137F">
        <w:t>well-centered</w:t>
      </w:r>
      <w:proofErr w:type="gramEnd"/>
      <w:r w:rsidR="00FC137F">
        <w:t xml:space="preserve"> in their housings. This has been measured for about 20 photodiodes, and the results are reported in </w:t>
      </w:r>
      <w:hyperlink r:id="rId19" w:history="1">
        <w:r w:rsidR="00FC137F" w:rsidRPr="00FC137F">
          <w:rPr>
            <w:rStyle w:val="Hyperlink"/>
          </w:rPr>
          <w:t>T1100639</w:t>
        </w:r>
      </w:hyperlink>
      <w:r w:rsidR="00FC137F">
        <w:t xml:space="preserve">. </w:t>
      </w:r>
      <w:r w:rsidR="00C90541">
        <w:t xml:space="preserve">The diode centers </w:t>
      </w:r>
      <w:proofErr w:type="gramStart"/>
      <w:r w:rsidR="00C90541">
        <w:t>were found to be offset</w:t>
      </w:r>
      <w:proofErr w:type="gramEnd"/>
      <w:r w:rsidR="00C90541">
        <w:t xml:space="preserve"> from the center of their housings by on average 80 microns, well within our centering requirement.</w:t>
      </w:r>
    </w:p>
    <w:p w14:paraId="07668208" w14:textId="5523C498" w:rsidR="00CF32C1" w:rsidRDefault="007C0605" w:rsidP="009820EC">
      <w:r>
        <w:rPr>
          <w:noProof/>
        </w:rPr>
        <w:lastRenderedPageBreak/>
        <mc:AlternateContent>
          <mc:Choice Requires="wps">
            <w:drawing>
              <wp:anchor distT="0" distB="0" distL="114300" distR="114300" simplePos="0" relativeHeight="251664384" behindDoc="0" locked="0" layoutInCell="1" allowOverlap="1" wp14:anchorId="47718D73" wp14:editId="03FE67EA">
                <wp:simplePos x="0" y="0"/>
                <wp:positionH relativeFrom="column">
                  <wp:posOffset>124460</wp:posOffset>
                </wp:positionH>
                <wp:positionV relativeFrom="paragraph">
                  <wp:posOffset>4209415</wp:posOffset>
                </wp:positionV>
                <wp:extent cx="5829300" cy="1291590"/>
                <wp:effectExtent l="0" t="0" r="12700" b="3175"/>
                <wp:wrapThrough wrapText="bothSides">
                  <wp:wrapPolygon edited="0">
                    <wp:start x="0" y="0"/>
                    <wp:lineTo x="0" y="21007"/>
                    <wp:lineTo x="21553" y="21007"/>
                    <wp:lineTo x="21553" y="0"/>
                    <wp:lineTo x="0" y="0"/>
                  </wp:wrapPolygon>
                </wp:wrapThrough>
                <wp:docPr id="16" name="Text Box 16"/>
                <wp:cNvGraphicFramePr/>
                <a:graphic xmlns:a="http://schemas.openxmlformats.org/drawingml/2006/main">
                  <a:graphicData uri="http://schemas.microsoft.com/office/word/2010/wordprocessingShape">
                    <wps:wsp>
                      <wps:cNvSpPr txBox="1"/>
                      <wps:spPr>
                        <a:xfrm>
                          <a:off x="0" y="0"/>
                          <a:ext cx="5829300" cy="12915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F2A4CFB" w14:textId="39EA2AB6" w:rsidR="00575BBF" w:rsidRPr="007C0605" w:rsidRDefault="00575BBF" w:rsidP="007C0605">
                            <w:pPr>
                              <w:pStyle w:val="Caption"/>
                              <w:rPr>
                                <w:b w:val="0"/>
                                <w:noProof/>
                                <w:sz w:val="22"/>
                                <w:szCs w:val="22"/>
                              </w:rPr>
                            </w:pPr>
                            <w:bookmarkStart w:id="3" w:name="_Ref220730674"/>
                            <w:proofErr w:type="gramStart"/>
                            <w:r>
                              <w:t xml:space="preserve">Figure </w:t>
                            </w:r>
                            <w:proofErr w:type="gramEnd"/>
                            <w:r>
                              <w:fldChar w:fldCharType="begin"/>
                            </w:r>
                            <w:r>
                              <w:instrText xml:space="preserve"> SEQ Figure \* ARABIC </w:instrText>
                            </w:r>
                            <w:r>
                              <w:fldChar w:fldCharType="separate"/>
                            </w:r>
                            <w:r w:rsidR="00D42C52">
                              <w:rPr>
                                <w:noProof/>
                              </w:rPr>
                              <w:t>4</w:t>
                            </w:r>
                            <w:r>
                              <w:fldChar w:fldCharType="end"/>
                            </w:r>
                            <w:bookmarkEnd w:id="3"/>
                            <w:proofErr w:type="gramStart"/>
                            <w:r>
                              <w:t>.</w:t>
                            </w:r>
                            <w:proofErr w:type="gramEnd"/>
                            <w:r>
                              <w:rPr>
                                <w:b w:val="0"/>
                                <w:sz w:val="22"/>
                                <w:szCs w:val="22"/>
                              </w:rPr>
                              <w:t xml:space="preserve"> DC photodiode mount assembly: D1201273 (v1). The glass block (fused silica) is bonded to the OMC breadboard. The diode is inserted into the socket assembly (sandwich of PEEK/flex circuit/PEEK) and held in good thermal contact to the housing with the retaining ring. The PEEK nut plate provides compliance for screwing this unit onto the mount block. A set of shims provides vertical position adjustment; slots in the housing provide horizontal adjustment. The faces of the housing are coated with aluminum oxide (plasma spray), to provide a high emissivity for thermal radiation. The blue items are </w:t>
                            </w:r>
                            <w:proofErr w:type="spellStart"/>
                            <w:r>
                              <w:rPr>
                                <w:b w:val="0"/>
                                <w:sz w:val="22"/>
                                <w:szCs w:val="22"/>
                              </w:rPr>
                              <w:t>nitronic</w:t>
                            </w:r>
                            <w:proofErr w:type="spellEnd"/>
                            <w:r>
                              <w:rPr>
                                <w:b w:val="0"/>
                                <w:sz w:val="22"/>
                                <w:szCs w:val="22"/>
                              </w:rPr>
                              <w:t xml:space="preserve"> 60 </w:t>
                            </w:r>
                            <w:proofErr w:type="spellStart"/>
                            <w:r>
                              <w:rPr>
                                <w:b w:val="0"/>
                                <w:sz w:val="22"/>
                                <w:szCs w:val="22"/>
                              </w:rPr>
                              <w:t>heli</w:t>
                            </w:r>
                            <w:proofErr w:type="spellEnd"/>
                            <w:r>
                              <w:rPr>
                                <w:b w:val="0"/>
                                <w:sz w:val="22"/>
                                <w:szCs w:val="22"/>
                              </w:rPr>
                              <w:t>-coils.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6" o:spid="_x0000_s1026" type="#_x0000_t202" style="position:absolute;left:0;text-align:left;margin-left:9.8pt;margin-top:331.45pt;width:459pt;height:101.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" stroked="f">
                <v:textbox style="mso-fit-shape-to-text:t" inset="0,0,0,0">
                  <w:txbxContent>
                    <w:p w14:paraId="7F2A4CFB" w14:textId="39EA2AB6" w:rsidR="00575BBF" w:rsidRPr="007C0605" w:rsidRDefault="00575BBF" w:rsidP="007C0605">
                      <w:pPr>
                        <w:pStyle w:val="Caption"/>
                        <w:rPr>
                          <w:b w:val="0"/>
                          <w:noProof/>
                          <w:sz w:val="22"/>
                          <w:szCs w:val="22"/>
                        </w:rPr>
                      </w:pPr>
                      <w:bookmarkStart w:id="4" w:name="_Ref220730674"/>
                      <w:proofErr w:type="gramStart"/>
                      <w:r>
                        <w:t xml:space="preserve">Figure </w:t>
                      </w:r>
                      <w:proofErr w:type="gramEnd"/>
                      <w:r>
                        <w:fldChar w:fldCharType="begin"/>
                      </w:r>
                      <w:r>
                        <w:instrText xml:space="preserve"> SEQ Figure \* ARABIC </w:instrText>
                      </w:r>
                      <w:r>
                        <w:fldChar w:fldCharType="separate"/>
                      </w:r>
                      <w:r w:rsidR="00D42C52">
                        <w:rPr>
                          <w:noProof/>
                        </w:rPr>
                        <w:t>4</w:t>
                      </w:r>
                      <w:r>
                        <w:fldChar w:fldCharType="end"/>
                      </w:r>
                      <w:bookmarkEnd w:id="4"/>
                      <w:proofErr w:type="gramStart"/>
                      <w:r>
                        <w:t>.</w:t>
                      </w:r>
                      <w:proofErr w:type="gramEnd"/>
                      <w:r>
                        <w:rPr>
                          <w:b w:val="0"/>
                          <w:sz w:val="22"/>
                          <w:szCs w:val="22"/>
                        </w:rPr>
                        <w:t xml:space="preserve"> DC photodiode mount assembly: D1201273 (v1). The glass block (fused silica) is bonded to the OMC breadboard. The diode is inserted into the socket assembly (sandwich of PEEK/flex circuit/PEEK) and held in good thermal contact to the housing with the retaining ring. The PEEK nut plate provides compliance for screwing this unit onto the mount block. A set of shims provides vertical position adjustment; slots in the housing provide horizontal adjustment. The faces of the housing are coated with aluminum oxide (plasma spray), to provide a high emissivity for thermal radiation. The blue items are </w:t>
                      </w:r>
                      <w:proofErr w:type="spellStart"/>
                      <w:r>
                        <w:rPr>
                          <w:b w:val="0"/>
                          <w:sz w:val="22"/>
                          <w:szCs w:val="22"/>
                        </w:rPr>
                        <w:t>nitronic</w:t>
                      </w:r>
                      <w:proofErr w:type="spellEnd"/>
                      <w:r>
                        <w:rPr>
                          <w:b w:val="0"/>
                          <w:sz w:val="22"/>
                          <w:szCs w:val="22"/>
                        </w:rPr>
                        <w:t xml:space="preserve"> 60 </w:t>
                      </w:r>
                      <w:proofErr w:type="spellStart"/>
                      <w:r>
                        <w:rPr>
                          <w:b w:val="0"/>
                          <w:sz w:val="22"/>
                          <w:szCs w:val="22"/>
                        </w:rPr>
                        <w:t>heli</w:t>
                      </w:r>
                      <w:proofErr w:type="spellEnd"/>
                      <w:r>
                        <w:rPr>
                          <w:b w:val="0"/>
                          <w:sz w:val="22"/>
                          <w:szCs w:val="22"/>
                        </w:rPr>
                        <w:t>-coils.</w:t>
                      </w:r>
                    </w:p>
                  </w:txbxContent>
                </v:textbox>
                <w10:wrap type="through"/>
              </v:shape>
            </w:pict>
          </mc:Fallback>
        </mc:AlternateContent>
      </w:r>
      <w:r>
        <w:rPr>
          <w:noProof/>
        </w:rPr>
        <w:drawing>
          <wp:anchor distT="0" distB="0" distL="114300" distR="114300" simplePos="0" relativeHeight="251662336" behindDoc="0" locked="0" layoutInCell="1" allowOverlap="1" wp14:anchorId="0E5BCF3B" wp14:editId="5C65F2B2">
            <wp:simplePos x="0" y="0"/>
            <wp:positionH relativeFrom="column">
              <wp:posOffset>580390</wp:posOffset>
            </wp:positionH>
            <wp:positionV relativeFrom="paragraph">
              <wp:posOffset>80645</wp:posOffset>
            </wp:positionV>
            <wp:extent cx="4928235" cy="4071620"/>
            <wp:effectExtent l="25400" t="25400" r="24765" b="1778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mount.pdf"/>
                    <pic:cNvPicPr/>
                  </pic:nvPicPr>
                  <pic:blipFill>
                    <a:blip r:embed="rId20">
                      <a:extLst>
                        <a:ext uri="{28A0092B-C50C-407E-A947-70E740481C1C}">
                          <a14:useLocalDpi xmlns:a14="http://schemas.microsoft.com/office/drawing/2010/main" val="0"/>
                        </a:ext>
                      </a:extLst>
                    </a:blip>
                    <a:stretch>
                      <a:fillRect/>
                    </a:stretch>
                  </pic:blipFill>
                  <pic:spPr>
                    <a:xfrm>
                      <a:off x="0" y="0"/>
                      <a:ext cx="4928235" cy="407162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91374B">
        <w:t xml:space="preserve">The mount assembly for the QPD is similar to that for the DCPD; see D1201279. The main difference is a smaller housing/radiator, and it is not </w:t>
      </w:r>
      <w:r w:rsidR="0091374B" w:rsidRPr="00741D13">
        <w:t>Al</w:t>
      </w:r>
      <w:r w:rsidR="00741D13">
        <w:rPr>
          <w:vertAlign w:val="subscript"/>
        </w:rPr>
        <w:t>2</w:t>
      </w:r>
      <w:r w:rsidR="0091374B" w:rsidRPr="00741D13">
        <w:t>O</w:t>
      </w:r>
      <w:r w:rsidR="00741D13" w:rsidRPr="00741D13">
        <w:rPr>
          <w:vertAlign w:val="subscript"/>
        </w:rPr>
        <w:t>3</w:t>
      </w:r>
      <w:r w:rsidR="0091374B">
        <w:t>-coated, since the power dissipated in the QPDs is much smaller.</w:t>
      </w:r>
    </w:p>
    <w:p w14:paraId="1F787522" w14:textId="41E0A9CF" w:rsidR="002C6DF5" w:rsidRDefault="002C6DF5" w:rsidP="009820EC">
      <w:r>
        <w:rPr>
          <w:b/>
          <w:i/>
        </w:rPr>
        <w:t>Power dissipation.</w:t>
      </w:r>
      <w:r>
        <w:t xml:space="preserve"> The DCPD mounti</w:t>
      </w:r>
      <w:r w:rsidR="00D34D6E">
        <w:t>ng is designed assuming up to 10</w:t>
      </w:r>
      <w:r>
        <w:t xml:space="preserve">0 </w:t>
      </w:r>
      <w:proofErr w:type="spellStart"/>
      <w:r>
        <w:t>mW</w:t>
      </w:r>
      <w:proofErr w:type="spellEnd"/>
      <w:r>
        <w:t xml:space="preserve"> of light on each diode, and a reverse bias on the diode of up to 5 V. This corresponds to a </w:t>
      </w:r>
      <w:r w:rsidR="00D34D6E">
        <w:t xml:space="preserve">power dissipation of up to 0.5 </w:t>
      </w:r>
      <w:r>
        <w:t>W.</w:t>
      </w:r>
      <w:r w:rsidR="00D34D6E">
        <w:t xml:space="preserve"> At this power level, we aim to limit the temperature rise of the housing to no more than 20C. With an emissivity of 0.9 for the </w:t>
      </w:r>
      <w:r w:rsidR="00741D13" w:rsidRPr="00741D13">
        <w:t>Al</w:t>
      </w:r>
      <w:r w:rsidR="00741D13">
        <w:rPr>
          <w:vertAlign w:val="subscript"/>
        </w:rPr>
        <w:t>2</w:t>
      </w:r>
      <w:r w:rsidR="00741D13" w:rsidRPr="00741D13">
        <w:t>O</w:t>
      </w:r>
      <w:r w:rsidR="00741D13" w:rsidRPr="00741D13">
        <w:rPr>
          <w:vertAlign w:val="subscript"/>
        </w:rPr>
        <w:t>3</w:t>
      </w:r>
      <w:r w:rsidR="00D34D6E">
        <w:t>-coated su</w:t>
      </w:r>
      <w:r w:rsidR="00613DF8">
        <w:t>rfaces, this corresponds to a radiator surface area of about 42 cm</w:t>
      </w:r>
      <w:r w:rsidR="00613DF8">
        <w:rPr>
          <w:vertAlign w:val="superscript"/>
        </w:rPr>
        <w:t>2</w:t>
      </w:r>
      <w:r w:rsidR="00613DF8">
        <w:t xml:space="preserve">. The surface area of the housing D1201274 is a bit more than this, though we have not done detailed calculations of the effective </w:t>
      </w:r>
      <w:proofErr w:type="spellStart"/>
      <w:r w:rsidR="00613DF8">
        <w:t>radiative</w:t>
      </w:r>
      <w:proofErr w:type="spellEnd"/>
      <w:r w:rsidR="00613DF8">
        <w:t xml:space="preserve"> area of the shape.</w:t>
      </w:r>
    </w:p>
    <w:p w14:paraId="7A35479B" w14:textId="670605B1" w:rsidR="00CF32C1" w:rsidRDefault="00613DF8" w:rsidP="009820EC">
      <w:r>
        <w:t xml:space="preserve">The QPDs will dissipate around 10 </w:t>
      </w:r>
      <w:proofErr w:type="spellStart"/>
      <w:r>
        <w:t>mW</w:t>
      </w:r>
      <w:proofErr w:type="spellEnd"/>
      <w:r>
        <w:t xml:space="preserve"> maximum, so thermal handling is not an issue.</w:t>
      </w:r>
    </w:p>
    <w:p w14:paraId="703EA096" w14:textId="2DA38E55" w:rsidR="00823AB8" w:rsidRDefault="00823AB8" w:rsidP="009820EC">
      <w:pPr>
        <w:pStyle w:val="Heading1"/>
      </w:pPr>
      <w:r>
        <w:lastRenderedPageBreak/>
        <w:t>Cavity noise</w:t>
      </w:r>
    </w:p>
    <w:p w14:paraId="66B0FF7C" w14:textId="029FB5C1" w:rsidR="001462C2" w:rsidRDefault="001462C2" w:rsidP="001462C2">
      <w:r>
        <w:t xml:space="preserve">Noise in the length of the OMC cavity can couple into the GW channel either non-linearly (second order power transmission around the resonance peak, or bi-linearly with a </w:t>
      </w:r>
      <w:proofErr w:type="spellStart"/>
      <w:r>
        <w:t>rms</w:t>
      </w:r>
      <w:proofErr w:type="spellEnd"/>
      <w:r>
        <w:t xml:space="preserve"> offset from the peak) or linearly (static offset from the peak). </w:t>
      </w:r>
      <w:r w:rsidR="008D519B">
        <w:t xml:space="preserve">Tests of the OMC coupling in Enhanced LIGO suggests that a safe upper limit for cavity length noise is </w:t>
      </w:r>
      <m:oMath>
        <m:r>
          <w:rPr>
            <w:rFonts w:ascii="Cambria Math" w:hAnsi="Cambria Math"/>
          </w:rPr>
          <m:t>3×</m:t>
        </m:r>
        <m:sSup>
          <m:sSupPr>
            <m:ctrlPr>
              <w:rPr>
                <w:rFonts w:ascii="Cambria Math" w:hAnsi="Cambria Math"/>
                <w:i/>
              </w:rPr>
            </m:ctrlPr>
          </m:sSupPr>
          <m:e>
            <m:r>
              <w:rPr>
                <w:rFonts w:ascii="Cambria Math" w:hAnsi="Cambria Math"/>
              </w:rPr>
              <m:t>10</m:t>
            </m:r>
          </m:e>
          <m:sup>
            <m:r>
              <w:rPr>
                <w:rFonts w:ascii="Cambria Math" w:hAnsi="Cambria Math"/>
              </w:rPr>
              <m:t>-16</m:t>
            </m:r>
          </m:sup>
        </m:sSup>
        <m:r>
          <w:rPr>
            <w:rFonts w:ascii="Cambria Math" w:hAnsi="Cambria Math"/>
          </w:rPr>
          <m:t xml:space="preserve"> </m:t>
        </m:r>
        <m:r>
          <m:rPr>
            <m:nor/>
          </m:rPr>
          <w:rPr>
            <w:rFonts w:ascii="Cambria Math" w:hAnsi="Cambria Math"/>
          </w:rPr>
          <m:t>m/√Hz</m:t>
        </m:r>
      </m:oMath>
      <w:r w:rsidR="008D519B">
        <w:t>; see LIGO-G110</w:t>
      </w:r>
      <w:r w:rsidR="00E51C86">
        <w:t>0</w:t>
      </w:r>
      <w:r w:rsidR="008D519B">
        <w:t>903 for the background. This level of length noise would produce a transmitted power noise that is 10x smaller than shot noise for 100 ma of photocurrent, with an offset from resonance of 0.2 pm.</w:t>
      </w:r>
    </w:p>
    <w:p w14:paraId="3558331C" w14:textId="0374FE86" w:rsidR="000B29EA" w:rsidRDefault="000B29EA" w:rsidP="001462C2">
      <w:proofErr w:type="spellStart"/>
      <w:r>
        <w:t>Frolov</w:t>
      </w:r>
      <w:proofErr w:type="spellEnd"/>
      <w:r>
        <w:t xml:space="preserve"> and </w:t>
      </w:r>
      <w:proofErr w:type="spellStart"/>
      <w:r>
        <w:t>DeRosa</w:t>
      </w:r>
      <w:proofErr w:type="spellEnd"/>
      <w:r>
        <w:t xml:space="preserve"> have made measurements aimed at uncovering the intrinsic noise in the PZTs; see the same wiki entry as referenced earlier. Using a Michelson interferometer, they have established an upper limit to the PZT noise of </w:t>
      </w:r>
      <m:oMath>
        <m:r>
          <w:rPr>
            <w:rFonts w:ascii="Cambria Math" w:hAnsi="Cambria Math"/>
          </w:rPr>
          <m:t>6×</m:t>
        </m:r>
        <m:sSup>
          <m:sSupPr>
            <m:ctrlPr>
              <w:rPr>
                <w:rFonts w:ascii="Cambria Math" w:hAnsi="Cambria Math"/>
                <w:i/>
              </w:rPr>
            </m:ctrlPr>
          </m:sSupPr>
          <m:e>
            <w:proofErr w:type="gramStart"/>
            <m:r>
              <w:rPr>
                <w:rFonts w:ascii="Cambria Math" w:hAnsi="Cambria Math"/>
              </w:rPr>
              <m:t>10</m:t>
            </m:r>
          </m:e>
          <m:sup>
            <m:r>
              <w:rPr>
                <w:rFonts w:ascii="Cambria Math" w:hAnsi="Cambria Math"/>
              </w:rPr>
              <m:t>-16</m:t>
            </m:r>
            <w:proofErr w:type="gramEnd"/>
          </m:sup>
        </m:sSup>
        <m:r>
          <w:rPr>
            <w:rFonts w:ascii="Cambria Math" w:hAnsi="Cambria Math"/>
          </w:rPr>
          <m:t xml:space="preserve"> </m:t>
        </m:r>
        <m:r>
          <m:rPr>
            <m:nor/>
          </m:rPr>
          <w:rPr>
            <w:rFonts w:ascii="Cambria Math" w:hAnsi="Cambria Math"/>
          </w:rPr>
          <m:t>m/√Hz</m:t>
        </m:r>
      </m:oMath>
      <w:r w:rsidR="00935777">
        <w:t>, close enough to the above limit (which has margin) to be acceptable.</w:t>
      </w:r>
    </w:p>
    <w:p w14:paraId="460330D4" w14:textId="20C0E7C2" w:rsidR="00935777" w:rsidRDefault="00935777" w:rsidP="001462C2">
      <w:r>
        <w:t xml:space="preserve">The cavity length noise limit imposes a requirement on the voltage noise of the PZT drivers. This works out to a maximum of </w:t>
      </w:r>
      <m:oMath>
        <m:r>
          <w:rPr>
            <w:rFonts w:ascii="Cambria Math" w:hAnsi="Cambria Math"/>
          </w:rPr>
          <m:t xml:space="preserve">15 </m:t>
        </m:r>
        <w:proofErr w:type="spellStart"/>
        <m:r>
          <m:rPr>
            <m:nor/>
          </m:rPr>
          <w:rPr>
            <w:rFonts w:ascii="Cambria Math" w:hAnsi="Cambria Math"/>
          </w:rPr>
          <m:t>nV</m:t>
        </m:r>
        <w:proofErr w:type="spellEnd"/>
        <m:r>
          <m:rPr>
            <m:nor/>
          </m:rPr>
          <w:rPr>
            <w:rFonts w:ascii="Cambria Math" w:hAnsi="Cambria Math"/>
          </w:rPr>
          <m:t>/√Hz</m:t>
        </m:r>
      </m:oMath>
      <w:r>
        <w:t xml:space="preserve"> on each PZT (above ~50 Hz). </w:t>
      </w:r>
    </w:p>
    <w:p w14:paraId="12DD04A1" w14:textId="20F517F0" w:rsidR="006D63F5" w:rsidRDefault="006D63F5" w:rsidP="001462C2">
      <w:r>
        <w:t>There will also be thermal noise of the OMC cavity. This hasn’t been modeled in any detail, but we can make an order of magnitude estimate using a single degree-of-freedom oscillator model. The on-resonance thermal excitation of such an oscillator</w:t>
      </w:r>
      <w:r w:rsidR="00194EBB">
        <w:t>, using numbers reasonable for an OMC mode,</w:t>
      </w:r>
      <w:r>
        <w:t xml:space="preserve"> is:</w:t>
      </w:r>
    </w:p>
    <w:p w14:paraId="251BBC5E" w14:textId="4C5726CA" w:rsidR="006D63F5" w:rsidRPr="000C26F2" w:rsidRDefault="006D63F5" w:rsidP="001462C2">
      <m:oMathPara>
        <m:oMathParaPr>
          <m:jc m:val="center"/>
        </m:oMathParaPr>
        <m:oMath>
          <m:sSub>
            <m:sSubPr>
              <m:ctrlPr>
                <w:rPr>
                  <w:rFonts w:ascii="Cambria Math" w:hAnsi="Cambria Math"/>
                  <w:i/>
                </w:rPr>
              </m:ctrlPr>
            </m:sSubPr>
            <m:e>
              <m:r>
                <w:rPr>
                  <w:rFonts w:ascii="Cambria Math" w:hAnsi="Cambria Math"/>
                </w:rPr>
                <m:t>x</m:t>
              </m:r>
            </m:e>
            <m:sub>
              <m:r>
                <w:rPr>
                  <w:rFonts w:ascii="Cambria Math" w:hAnsi="Cambria Math"/>
                </w:rPr>
                <m:t>th</m:t>
              </m:r>
            </m:sub>
          </m:sSub>
          <m:r>
            <w:rPr>
              <w:rFonts w:ascii="Cambria Math" w:hAnsi="Cambria Math"/>
            </w:rPr>
            <m:t>=3×</m:t>
          </m:r>
          <m:sSup>
            <m:sSupPr>
              <m:ctrlPr>
                <w:rPr>
                  <w:rFonts w:ascii="Cambria Math" w:hAnsi="Cambria Math"/>
                  <w:i/>
                </w:rPr>
              </m:ctrlPr>
            </m:sSupPr>
            <m:e>
              <m:r>
                <w:rPr>
                  <w:rFonts w:ascii="Cambria Math" w:hAnsi="Cambria Math"/>
                </w:rPr>
                <m:t>10</m:t>
              </m:r>
            </m:e>
            <m:sup>
              <m:r>
                <w:rPr>
                  <w:rFonts w:ascii="Cambria Math" w:hAnsi="Cambria Math"/>
                </w:rPr>
                <m:t>-15</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r>
                        <m:rPr>
                          <m:nor/>
                        </m:rPr>
                        <w:rPr>
                          <w:rFonts w:ascii="Cambria Math" w:hAnsi="Cambria Math"/>
                        </w:rPr>
                        <m:t xml:space="preserve"> kg</m:t>
                      </m:r>
                    </m:num>
                    <m:den>
                      <m:r>
                        <w:rPr>
                          <w:rFonts w:ascii="Cambria Math" w:hAnsi="Cambria Math"/>
                        </w:rPr>
                        <m:t>m</m:t>
                      </m:r>
                    </m:den>
                  </m:f>
                </m:e>
              </m:d>
            </m:e>
            <m:sup>
              <m:r>
                <w:rPr>
                  <w:rFonts w:ascii="Cambria Math" w:hAnsi="Cambria Math"/>
                </w:rPr>
                <m:t>1/2</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 xml:space="preserve">2 </m:t>
                      </m:r>
                      <m:r>
                        <m:rPr>
                          <m:nor/>
                        </m:rPr>
                        <w:rPr>
                          <w:rFonts w:ascii="Cambria Math" w:hAnsi="Cambria Math"/>
                        </w:rPr>
                        <m:t>kHz</m:t>
                      </m:r>
                    </m:num>
                    <m:den>
                      <m:sSub>
                        <m:sSubPr>
                          <m:ctrlPr>
                            <w:rPr>
                              <w:rFonts w:ascii="Cambria Math" w:hAnsi="Cambria Math"/>
                              <w:i/>
                            </w:rPr>
                          </m:ctrlPr>
                        </m:sSubPr>
                        <m:e>
                          <m:r>
                            <w:rPr>
                              <w:rFonts w:ascii="Cambria Math" w:hAnsi="Cambria Math"/>
                            </w:rPr>
                            <m:t>f</m:t>
                          </m:r>
                        </m:e>
                        <m:sub>
                          <m:r>
                            <w:rPr>
                              <w:rFonts w:ascii="Cambria Math" w:hAnsi="Cambria Math"/>
                            </w:rPr>
                            <m:t>0</m:t>
                          </m:r>
                        </m:sub>
                      </m:sSub>
                    </m:den>
                  </m:f>
                </m:e>
              </m:d>
            </m:e>
            <m:sup>
              <m:r>
                <w:rPr>
                  <w:rFonts w:ascii="Cambria Math" w:hAnsi="Cambria Math"/>
                </w:rPr>
                <m:t>3/2</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Q</m:t>
                      </m:r>
                    </m:num>
                    <m:den>
                      <m:r>
                        <w:rPr>
                          <w:rFonts w:ascii="Cambria Math" w:hAnsi="Cambria Math"/>
                        </w:rPr>
                        <m:t>1000</m:t>
                      </m:r>
                    </m:den>
                  </m:f>
                </m:e>
              </m:d>
            </m:e>
            <m:sup>
              <m:r>
                <w:rPr>
                  <w:rFonts w:ascii="Cambria Math" w:hAnsi="Cambria Math"/>
                </w:rPr>
                <m:t>1/2</m:t>
              </m:r>
            </m:sup>
          </m:sSup>
          <m:r>
            <m:rPr>
              <m:nor/>
            </m:rPr>
            <w:rPr>
              <w:rFonts w:ascii="Cambria Math" w:hAnsi="Cambria Math"/>
            </w:rPr>
            <m:t>m/√Hz</m:t>
          </m:r>
        </m:oMath>
      </m:oMathPara>
    </w:p>
    <w:p w14:paraId="4677FE3B" w14:textId="75A4220F" w:rsidR="000C26F2" w:rsidRPr="006D63F5" w:rsidRDefault="000C26F2" w:rsidP="001462C2">
      <w:r>
        <w:t xml:space="preserve">While this is above the limit given in the first paragraph of this section, it is only at the resonant peak. </w:t>
      </w:r>
      <w:r w:rsidR="00194EBB">
        <w:t xml:space="preserve">The first </w:t>
      </w:r>
      <w:proofErr w:type="spellStart"/>
      <w:r w:rsidR="00194EBB">
        <w:t>eigenmode</w:t>
      </w:r>
      <w:proofErr w:type="spellEnd"/>
      <w:r w:rsidR="00194EBB">
        <w:t xml:space="preserve"> of the OMC, a bending of the breadboard, is at about 1 kHz; as mentioned above, modes that involve more local motions of the cavity prisms are above a few kHz. More finite-element analysis of the OMC is planned for the future.</w:t>
      </w:r>
    </w:p>
    <w:p w14:paraId="56725E88" w14:textId="580AE950" w:rsidR="001929FE" w:rsidRDefault="001929FE" w:rsidP="009820EC">
      <w:pPr>
        <w:pStyle w:val="Heading1"/>
      </w:pPr>
      <w:r>
        <w:t>Photodiode preamps</w:t>
      </w:r>
    </w:p>
    <w:p w14:paraId="7CA16E21" w14:textId="4B97BC4E" w:rsidR="001929FE" w:rsidRPr="001929FE" w:rsidRDefault="008728BB" w:rsidP="001929FE">
      <w:r>
        <w:t xml:space="preserve">To be in close proximity to the DC PDs, the preamps for the DC readout are located in the HAM6 vacuum chamber, mounted at the top of the OMC suspension structure. The preamps are the same units used in Enhanced LIGO. The preamp circuits are enclosed in </w:t>
      </w:r>
      <w:r w:rsidR="005E7582">
        <w:t>a sealed aluminum</w:t>
      </w:r>
      <w:r w:rsidR="00BF31E7">
        <w:t xml:space="preserve"> box, with hermetic feed-</w:t>
      </w:r>
      <w:proofErr w:type="spellStart"/>
      <w:r w:rsidR="00BF31E7">
        <w:t>throughs</w:t>
      </w:r>
      <w:proofErr w:type="spellEnd"/>
      <w:r w:rsidR="005E7582">
        <w:t xml:space="preserve"> for the electrical connections. The design and performance of these preamps is documented elsewhere</w:t>
      </w:r>
      <w:r w:rsidR="005665ED">
        <w:t xml:space="preserve"> (preamp schematic is D060572)</w:t>
      </w:r>
      <w:r w:rsidR="005E7582">
        <w:t xml:space="preserve">. </w:t>
      </w:r>
    </w:p>
    <w:p w14:paraId="51ED7A62" w14:textId="1E7CD9F2" w:rsidR="006F5450" w:rsidRDefault="006F5450" w:rsidP="009820EC">
      <w:pPr>
        <w:pStyle w:val="Heading1"/>
      </w:pPr>
      <w:r>
        <w:t>Electrical cabling</w:t>
      </w:r>
    </w:p>
    <w:p w14:paraId="36C1D24F" w14:textId="25CA3B6C" w:rsidR="006F5450" w:rsidRDefault="00190C5A" w:rsidP="006F5450">
      <w:r>
        <w:t>The design for the electrical cabling from the devices on the breadboard to the top of the susp</w:t>
      </w:r>
      <w:r w:rsidR="004A6D4F">
        <w:t xml:space="preserve">ension structure is shown in </w:t>
      </w:r>
      <w:r w:rsidR="004A6D4F">
        <w:fldChar w:fldCharType="begin"/>
      </w:r>
      <w:r w:rsidR="004A6D4F">
        <w:instrText xml:space="preserve"> REF _Ref220566084 \h </w:instrText>
      </w:r>
      <w:r w:rsidR="004A6D4F">
        <w:fldChar w:fldCharType="separate"/>
      </w:r>
      <w:r w:rsidR="00D42C52" w:rsidRPr="00741D13">
        <w:rPr>
          <w:b/>
          <w:sz w:val="22"/>
          <w:szCs w:val="22"/>
        </w:rPr>
        <w:t xml:space="preserve">Figure </w:t>
      </w:r>
      <w:r w:rsidR="00D42C52">
        <w:rPr>
          <w:b/>
          <w:noProof/>
          <w:sz w:val="22"/>
          <w:szCs w:val="22"/>
        </w:rPr>
        <w:t>5</w:t>
      </w:r>
      <w:r w:rsidR="004A6D4F">
        <w:fldChar w:fldCharType="end"/>
      </w:r>
      <w:r w:rsidR="004A6D4F">
        <w:t>. At this location</w:t>
      </w:r>
      <w:r>
        <w:t xml:space="preserve">, all signals are on 25-pin </w:t>
      </w:r>
      <w:proofErr w:type="spellStart"/>
      <w:r>
        <w:t>Dsub</w:t>
      </w:r>
      <w:proofErr w:type="spellEnd"/>
      <w:r>
        <w:t xml:space="preserve"> connectors, and standard in-vacuum 25pinDsub-to-25pinDsub cables are used to bring the signals out to the chamber </w:t>
      </w:r>
      <w:proofErr w:type="spellStart"/>
      <w:r>
        <w:t>feedthroughs</w:t>
      </w:r>
      <w:proofErr w:type="spellEnd"/>
      <w:r>
        <w:t>.</w:t>
      </w:r>
    </w:p>
    <w:p w14:paraId="0A7193DA" w14:textId="1BD2669D" w:rsidR="00190C5A" w:rsidRPr="006F5450" w:rsidRDefault="00094491" w:rsidP="006F5450">
      <w:r>
        <w:rPr>
          <w:noProof/>
        </w:rPr>
        <w:lastRenderedPageBreak/>
        <mc:AlternateContent>
          <mc:Choice Requires="wps">
            <w:drawing>
              <wp:anchor distT="0" distB="0" distL="114300" distR="114300" simplePos="0" relativeHeight="251667456" behindDoc="0" locked="0" layoutInCell="1" allowOverlap="1" wp14:anchorId="71B76043" wp14:editId="0D0271A3">
                <wp:simplePos x="0" y="0"/>
                <wp:positionH relativeFrom="column">
                  <wp:posOffset>353060</wp:posOffset>
                </wp:positionH>
                <wp:positionV relativeFrom="paragraph">
                  <wp:posOffset>5985510</wp:posOffset>
                </wp:positionV>
                <wp:extent cx="5439410" cy="1437640"/>
                <wp:effectExtent l="0" t="0" r="0" b="0"/>
                <wp:wrapThrough wrapText="bothSides">
                  <wp:wrapPolygon edited="0">
                    <wp:start x="0" y="0"/>
                    <wp:lineTo x="0" y="21052"/>
                    <wp:lineTo x="21484" y="21052"/>
                    <wp:lineTo x="21484" y="0"/>
                    <wp:lineTo x="0" y="0"/>
                  </wp:wrapPolygon>
                </wp:wrapThrough>
                <wp:docPr id="18" name="Text Box 18"/>
                <wp:cNvGraphicFramePr/>
                <a:graphic xmlns:a="http://schemas.openxmlformats.org/drawingml/2006/main">
                  <a:graphicData uri="http://schemas.microsoft.com/office/word/2010/wordprocessingShape">
                    <wps:wsp>
                      <wps:cNvSpPr txBox="1"/>
                      <wps:spPr>
                        <a:xfrm>
                          <a:off x="0" y="0"/>
                          <a:ext cx="5439410" cy="143764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25A0BDB" w14:textId="4435292D" w:rsidR="00575BBF" w:rsidRPr="00741D13" w:rsidRDefault="00575BBF" w:rsidP="00094491">
                            <w:pPr>
                              <w:pStyle w:val="Caption"/>
                              <w:rPr>
                                <w:b w:val="0"/>
                                <w:noProof/>
                                <w:sz w:val="22"/>
                                <w:szCs w:val="22"/>
                              </w:rPr>
                            </w:pPr>
                            <w:bookmarkStart w:id="5" w:name="_Ref220566084"/>
                            <w:proofErr w:type="gramStart"/>
                            <w:r w:rsidRPr="003C34EC">
                              <w:rPr>
                                <w:sz w:val="22"/>
                                <w:szCs w:val="22"/>
                              </w:rPr>
                              <w:t xml:space="preserve">Figure </w:t>
                            </w:r>
                            <w:r w:rsidRPr="003C34EC">
                              <w:rPr>
                                <w:sz w:val="22"/>
                                <w:szCs w:val="22"/>
                              </w:rPr>
                              <w:fldChar w:fldCharType="begin"/>
                            </w:r>
                            <w:r w:rsidRPr="003C34EC">
                              <w:rPr>
                                <w:sz w:val="22"/>
                                <w:szCs w:val="22"/>
                              </w:rPr>
                              <w:instrText xml:space="preserve"> SEQ Figure \* ARABIC </w:instrText>
                            </w:r>
                            <w:r w:rsidRPr="003C34EC">
                              <w:rPr>
                                <w:sz w:val="22"/>
                                <w:szCs w:val="22"/>
                              </w:rPr>
                              <w:fldChar w:fldCharType="separate"/>
                            </w:r>
                            <w:r w:rsidR="00D42C52" w:rsidRPr="003C34EC">
                              <w:rPr>
                                <w:noProof/>
                                <w:sz w:val="22"/>
                                <w:szCs w:val="22"/>
                              </w:rPr>
                              <w:t>5</w:t>
                            </w:r>
                            <w:r w:rsidRPr="003C34EC">
                              <w:rPr>
                                <w:sz w:val="22"/>
                                <w:szCs w:val="22"/>
                              </w:rPr>
                              <w:fldChar w:fldCharType="end"/>
                            </w:r>
                            <w:bookmarkEnd w:id="5"/>
                            <w:r w:rsidRPr="003C34EC">
                              <w:rPr>
                                <w:sz w:val="22"/>
                                <w:szCs w:val="22"/>
                              </w:rPr>
                              <w:t>.</w:t>
                            </w:r>
                            <w:proofErr w:type="gramEnd"/>
                            <w:r w:rsidRPr="00741D13">
                              <w:rPr>
                                <w:b w:val="0"/>
                                <w:sz w:val="22"/>
                                <w:szCs w:val="22"/>
                              </w:rPr>
                              <w:t xml:space="preserve"> </w:t>
                            </w:r>
                            <w:proofErr w:type="gramStart"/>
                            <w:r w:rsidRPr="00741D13">
                              <w:rPr>
                                <w:b w:val="0"/>
                                <w:sz w:val="22"/>
                                <w:szCs w:val="22"/>
                              </w:rPr>
                              <w:t>Cabling design for the OMC devices.</w:t>
                            </w:r>
                            <w:proofErr w:type="gramEnd"/>
                            <w:r w:rsidRPr="00741D13">
                              <w:rPr>
                                <w:b w:val="0"/>
                                <w:sz w:val="22"/>
                                <w:szCs w:val="22"/>
                              </w:rPr>
                              <w:t xml:space="preserve"> There are two each of the DCPDs and QPDs; only one of each is shown for simplicity. The Gore cable is a flexible cable, with PTFE insulation, </w:t>
                            </w:r>
                            <w:proofErr w:type="gramStart"/>
                            <w:r w:rsidRPr="00741D13">
                              <w:rPr>
                                <w:b w:val="0"/>
                                <w:sz w:val="22"/>
                                <w:szCs w:val="22"/>
                              </w:rPr>
                              <w:t>a</w:t>
                            </w:r>
                            <w:proofErr w:type="gramEnd"/>
                            <w:r w:rsidRPr="00741D13">
                              <w:rPr>
                                <w:b w:val="0"/>
                                <w:sz w:val="22"/>
                                <w:szCs w:val="22"/>
                              </w:rPr>
                              <w:t xml:space="preserve"> </w:t>
                            </w:r>
                            <w:proofErr w:type="spellStart"/>
                            <w:r w:rsidRPr="00741D13">
                              <w:rPr>
                                <w:b w:val="0"/>
                                <w:sz w:val="22"/>
                                <w:szCs w:val="22"/>
                              </w:rPr>
                              <w:t>ePTFE</w:t>
                            </w:r>
                            <w:proofErr w:type="spellEnd"/>
                            <w:r w:rsidRPr="00741D13">
                              <w:rPr>
                                <w:b w:val="0"/>
                                <w:sz w:val="22"/>
                                <w:szCs w:val="22"/>
                              </w:rPr>
                              <w:t xml:space="preserve"> jacket, and 26 </w:t>
                            </w:r>
                            <w:proofErr w:type="spellStart"/>
                            <w:r w:rsidRPr="00741D13">
                              <w:rPr>
                                <w:b w:val="0"/>
                                <w:sz w:val="22"/>
                                <w:szCs w:val="22"/>
                              </w:rPr>
                              <w:t>awg</w:t>
                            </w:r>
                            <w:proofErr w:type="spellEnd"/>
                            <w:r w:rsidRPr="00741D13">
                              <w:rPr>
                                <w:b w:val="0"/>
                                <w:sz w:val="22"/>
                                <w:szCs w:val="22"/>
                              </w:rPr>
                              <w:t xml:space="preserve"> conductors. The PZT wires are polyimide insulated, 32 </w:t>
                            </w:r>
                            <w:proofErr w:type="spellStart"/>
                            <w:r w:rsidRPr="00741D13">
                              <w:rPr>
                                <w:b w:val="0"/>
                                <w:sz w:val="22"/>
                                <w:szCs w:val="22"/>
                              </w:rPr>
                              <w:t>awg</w:t>
                            </w:r>
                            <w:proofErr w:type="spellEnd"/>
                            <w:r w:rsidRPr="00741D13">
                              <w:rPr>
                                <w:b w:val="0"/>
                                <w:sz w:val="22"/>
                                <w:szCs w:val="22"/>
                              </w:rPr>
                              <w:t xml:space="preserve">. The cable bracket (D1300052) mounts to the OMC breadboard by screwing onto two of the glass mount blocks (D1102211). Though not shown, at the breadboard cable bracket and at balance-mass brackets at the top ends of the breadboard, there are cable ‘pegs’ for routing and strain-relief of the cables as they travel from the bottom to the top of the breadboard. See also </w:t>
                            </w:r>
                            <w:r w:rsidRPr="00741D13">
                              <w:rPr>
                                <w:b w:val="0"/>
                                <w:sz w:val="22"/>
                                <w:szCs w:val="22"/>
                              </w:rPr>
                              <w:fldChar w:fldCharType="begin"/>
                            </w:r>
                            <w:r w:rsidRPr="00741D13">
                              <w:rPr>
                                <w:b w:val="0"/>
                                <w:sz w:val="22"/>
                                <w:szCs w:val="22"/>
                              </w:rPr>
                              <w:instrText xml:space="preserve"> REF _Ref220593300 \h </w:instrText>
                            </w:r>
                            <w:r w:rsidRPr="00741D13">
                              <w:rPr>
                                <w:b w:val="0"/>
                                <w:sz w:val="22"/>
                                <w:szCs w:val="22"/>
                              </w:rPr>
                            </w:r>
                            <w:r w:rsidRPr="00741D13">
                              <w:rPr>
                                <w:b w:val="0"/>
                                <w:sz w:val="22"/>
                                <w:szCs w:val="22"/>
                              </w:rPr>
                              <w:fldChar w:fldCharType="separate"/>
                            </w:r>
                            <w:r w:rsidR="00D42C52" w:rsidRPr="00870F91">
                              <w:rPr>
                                <w:sz w:val="22"/>
                              </w:rPr>
                              <w:t xml:space="preserve">Figure </w:t>
                            </w:r>
                            <w:r w:rsidR="00D42C52">
                              <w:rPr>
                                <w:noProof/>
                                <w:sz w:val="22"/>
                              </w:rPr>
                              <w:t>7</w:t>
                            </w:r>
                            <w:r w:rsidRPr="00741D13">
                              <w:rPr>
                                <w:b w:val="0"/>
                                <w:sz w:val="22"/>
                                <w:szCs w:val="22"/>
                              </w:rPr>
                              <w:fldChar w:fldCharType="end"/>
                            </w:r>
                            <w:r w:rsidRPr="00741D13">
                              <w:rPr>
                                <w:b w:val="0"/>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8" o:spid="_x0000_s1027" type="#_x0000_t202" style="position:absolute;left:0;text-align:left;margin-left:27.8pt;margin-top:471.3pt;width:428.3pt;height:113.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" stroked="f">
                <v:textbox style="mso-fit-shape-to-text:t" inset="0,0,0,0">
                  <w:txbxContent>
                    <w:p w14:paraId="525A0BDB" w14:textId="4435292D" w:rsidR="00575BBF" w:rsidRPr="00741D13" w:rsidRDefault="00575BBF" w:rsidP="00094491">
                      <w:pPr>
                        <w:pStyle w:val="Caption"/>
                        <w:rPr>
                          <w:b w:val="0"/>
                          <w:noProof/>
                          <w:sz w:val="22"/>
                          <w:szCs w:val="22"/>
                        </w:rPr>
                      </w:pPr>
                      <w:bookmarkStart w:id="6" w:name="_Ref220566084"/>
                      <w:proofErr w:type="gramStart"/>
                      <w:r w:rsidRPr="003C34EC">
                        <w:rPr>
                          <w:sz w:val="22"/>
                          <w:szCs w:val="22"/>
                        </w:rPr>
                        <w:t xml:space="preserve">Figure </w:t>
                      </w:r>
                      <w:r w:rsidRPr="003C34EC">
                        <w:rPr>
                          <w:sz w:val="22"/>
                          <w:szCs w:val="22"/>
                        </w:rPr>
                        <w:fldChar w:fldCharType="begin"/>
                      </w:r>
                      <w:r w:rsidRPr="003C34EC">
                        <w:rPr>
                          <w:sz w:val="22"/>
                          <w:szCs w:val="22"/>
                        </w:rPr>
                        <w:instrText xml:space="preserve"> SEQ Figure \* ARABIC </w:instrText>
                      </w:r>
                      <w:r w:rsidRPr="003C34EC">
                        <w:rPr>
                          <w:sz w:val="22"/>
                          <w:szCs w:val="22"/>
                        </w:rPr>
                        <w:fldChar w:fldCharType="separate"/>
                      </w:r>
                      <w:r w:rsidR="00D42C52" w:rsidRPr="003C34EC">
                        <w:rPr>
                          <w:noProof/>
                          <w:sz w:val="22"/>
                          <w:szCs w:val="22"/>
                        </w:rPr>
                        <w:t>5</w:t>
                      </w:r>
                      <w:r w:rsidRPr="003C34EC">
                        <w:rPr>
                          <w:sz w:val="22"/>
                          <w:szCs w:val="22"/>
                        </w:rPr>
                        <w:fldChar w:fldCharType="end"/>
                      </w:r>
                      <w:bookmarkEnd w:id="6"/>
                      <w:r w:rsidRPr="003C34EC">
                        <w:rPr>
                          <w:sz w:val="22"/>
                          <w:szCs w:val="22"/>
                        </w:rPr>
                        <w:t>.</w:t>
                      </w:r>
                      <w:proofErr w:type="gramEnd"/>
                      <w:r w:rsidRPr="00741D13">
                        <w:rPr>
                          <w:b w:val="0"/>
                          <w:sz w:val="22"/>
                          <w:szCs w:val="22"/>
                        </w:rPr>
                        <w:t xml:space="preserve"> </w:t>
                      </w:r>
                      <w:proofErr w:type="gramStart"/>
                      <w:r w:rsidRPr="00741D13">
                        <w:rPr>
                          <w:b w:val="0"/>
                          <w:sz w:val="22"/>
                          <w:szCs w:val="22"/>
                        </w:rPr>
                        <w:t>Cabling design for the OMC devices.</w:t>
                      </w:r>
                      <w:proofErr w:type="gramEnd"/>
                      <w:r w:rsidRPr="00741D13">
                        <w:rPr>
                          <w:b w:val="0"/>
                          <w:sz w:val="22"/>
                          <w:szCs w:val="22"/>
                        </w:rPr>
                        <w:t xml:space="preserve"> There are two each of the DCPDs and QPDs; only one of each is shown for simplicity. The Gore cable is a flexible cable, with PTFE insulation, </w:t>
                      </w:r>
                      <w:proofErr w:type="gramStart"/>
                      <w:r w:rsidRPr="00741D13">
                        <w:rPr>
                          <w:b w:val="0"/>
                          <w:sz w:val="22"/>
                          <w:szCs w:val="22"/>
                        </w:rPr>
                        <w:t>a</w:t>
                      </w:r>
                      <w:proofErr w:type="gramEnd"/>
                      <w:r w:rsidRPr="00741D13">
                        <w:rPr>
                          <w:b w:val="0"/>
                          <w:sz w:val="22"/>
                          <w:szCs w:val="22"/>
                        </w:rPr>
                        <w:t xml:space="preserve"> </w:t>
                      </w:r>
                      <w:proofErr w:type="spellStart"/>
                      <w:r w:rsidRPr="00741D13">
                        <w:rPr>
                          <w:b w:val="0"/>
                          <w:sz w:val="22"/>
                          <w:szCs w:val="22"/>
                        </w:rPr>
                        <w:t>ePTFE</w:t>
                      </w:r>
                      <w:proofErr w:type="spellEnd"/>
                      <w:r w:rsidRPr="00741D13">
                        <w:rPr>
                          <w:b w:val="0"/>
                          <w:sz w:val="22"/>
                          <w:szCs w:val="22"/>
                        </w:rPr>
                        <w:t xml:space="preserve"> jacket, and 26 </w:t>
                      </w:r>
                      <w:proofErr w:type="spellStart"/>
                      <w:r w:rsidRPr="00741D13">
                        <w:rPr>
                          <w:b w:val="0"/>
                          <w:sz w:val="22"/>
                          <w:szCs w:val="22"/>
                        </w:rPr>
                        <w:t>awg</w:t>
                      </w:r>
                      <w:proofErr w:type="spellEnd"/>
                      <w:r w:rsidRPr="00741D13">
                        <w:rPr>
                          <w:b w:val="0"/>
                          <w:sz w:val="22"/>
                          <w:szCs w:val="22"/>
                        </w:rPr>
                        <w:t xml:space="preserve"> conductors. The PZT wires are polyimide insulated, 32 </w:t>
                      </w:r>
                      <w:proofErr w:type="spellStart"/>
                      <w:r w:rsidRPr="00741D13">
                        <w:rPr>
                          <w:b w:val="0"/>
                          <w:sz w:val="22"/>
                          <w:szCs w:val="22"/>
                        </w:rPr>
                        <w:t>awg</w:t>
                      </w:r>
                      <w:proofErr w:type="spellEnd"/>
                      <w:r w:rsidRPr="00741D13">
                        <w:rPr>
                          <w:b w:val="0"/>
                          <w:sz w:val="22"/>
                          <w:szCs w:val="22"/>
                        </w:rPr>
                        <w:t xml:space="preserve">. The cable bracket (D1300052) mounts to the OMC breadboard by screwing onto two of the glass mount blocks (D1102211). Though not shown, at the breadboard cable bracket and at balance-mass brackets at the top ends of the breadboard, there are cable ‘pegs’ for routing and strain-relief of the cables as they travel from the bottom to the top of the breadboard. See also </w:t>
                      </w:r>
                      <w:r w:rsidRPr="00741D13">
                        <w:rPr>
                          <w:b w:val="0"/>
                          <w:sz w:val="22"/>
                          <w:szCs w:val="22"/>
                        </w:rPr>
                        <w:fldChar w:fldCharType="begin"/>
                      </w:r>
                      <w:r w:rsidRPr="00741D13">
                        <w:rPr>
                          <w:b w:val="0"/>
                          <w:sz w:val="22"/>
                          <w:szCs w:val="22"/>
                        </w:rPr>
                        <w:instrText xml:space="preserve"> REF _Ref220593300 \h </w:instrText>
                      </w:r>
                      <w:r w:rsidRPr="00741D13">
                        <w:rPr>
                          <w:b w:val="0"/>
                          <w:sz w:val="22"/>
                          <w:szCs w:val="22"/>
                        </w:rPr>
                      </w:r>
                      <w:r w:rsidRPr="00741D13">
                        <w:rPr>
                          <w:b w:val="0"/>
                          <w:sz w:val="22"/>
                          <w:szCs w:val="22"/>
                        </w:rPr>
                        <w:fldChar w:fldCharType="separate"/>
                      </w:r>
                      <w:r w:rsidR="00D42C52" w:rsidRPr="00870F91">
                        <w:rPr>
                          <w:sz w:val="22"/>
                        </w:rPr>
                        <w:t xml:space="preserve">Figure </w:t>
                      </w:r>
                      <w:r w:rsidR="00D42C52">
                        <w:rPr>
                          <w:noProof/>
                          <w:sz w:val="22"/>
                        </w:rPr>
                        <w:t>7</w:t>
                      </w:r>
                      <w:r w:rsidRPr="00741D13">
                        <w:rPr>
                          <w:b w:val="0"/>
                          <w:sz w:val="22"/>
                          <w:szCs w:val="22"/>
                        </w:rPr>
                        <w:fldChar w:fldCharType="end"/>
                      </w:r>
                      <w:r w:rsidRPr="00741D13">
                        <w:rPr>
                          <w:b w:val="0"/>
                          <w:sz w:val="22"/>
                          <w:szCs w:val="22"/>
                        </w:rPr>
                        <w:t>.</w:t>
                      </w:r>
                    </w:p>
                  </w:txbxContent>
                </v:textbox>
                <w10:wrap type="through"/>
              </v:shape>
            </w:pict>
          </mc:Fallback>
        </mc:AlternateContent>
      </w:r>
      <w:r w:rsidR="00190C5A">
        <w:rPr>
          <w:noProof/>
        </w:rPr>
        <w:drawing>
          <wp:anchor distT="0" distB="0" distL="114300" distR="114300" simplePos="0" relativeHeight="251665408" behindDoc="0" locked="0" layoutInCell="1" allowOverlap="1" wp14:anchorId="12A89370" wp14:editId="482F3B7F">
            <wp:simplePos x="0" y="0"/>
            <wp:positionH relativeFrom="column">
              <wp:align>center</wp:align>
            </wp:positionH>
            <wp:positionV relativeFrom="paragraph">
              <wp:posOffset>0</wp:posOffset>
            </wp:positionV>
            <wp:extent cx="5439410" cy="592836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Ccabling.pdf"/>
                    <pic:cNvPicPr/>
                  </pic:nvPicPr>
                  <pic:blipFill>
                    <a:blip r:embed="rId21">
                      <a:extLst>
                        <a:ext uri="{28A0092B-C50C-407E-A947-70E740481C1C}">
                          <a14:useLocalDpi xmlns:a14="http://schemas.microsoft.com/office/drawing/2010/main" val="0"/>
                        </a:ext>
                      </a:extLst>
                    </a:blip>
                    <a:stretch>
                      <a:fillRect/>
                    </a:stretch>
                  </pic:blipFill>
                  <pic:spPr>
                    <a:xfrm>
                      <a:off x="0" y="0"/>
                      <a:ext cx="5439410" cy="5928360"/>
                    </a:xfrm>
                    <a:prstGeom prst="rect">
                      <a:avLst/>
                    </a:prstGeom>
                    <a:extLst>
                      <a:ext uri="{FAA26D3D-D897-4be2-8F04-BA451C77F1D7}">
                        <ma14:placeholderFlag xmlns:ma14="http://schemas.microsoft.com/office/mac/drawingml/2011/main"/>
                      </a:ext>
                    </a:extLst>
                  </pic:spPr>
                </pic:pic>
              </a:graphicData>
            </a:graphic>
          </wp:anchor>
        </w:drawing>
      </w:r>
    </w:p>
    <w:p w14:paraId="00E199BC" w14:textId="25794E14" w:rsidR="009820EC" w:rsidRDefault="001929FE" w:rsidP="009820EC">
      <w:pPr>
        <w:pStyle w:val="Heading1"/>
      </w:pPr>
      <w:r>
        <w:lastRenderedPageBreak/>
        <w:t>Suspension interface</w:t>
      </w:r>
    </w:p>
    <w:p w14:paraId="231BA676" w14:textId="0A9599FF" w:rsidR="008A2C06" w:rsidRDefault="00D5615E" w:rsidP="006A133A">
      <w:r>
        <w:t xml:space="preserve">The OMC breadboard is suspended from the non-optical side, which is the </w:t>
      </w:r>
      <w:proofErr w:type="gramStart"/>
      <w:r>
        <w:t>top side</w:t>
      </w:r>
      <w:proofErr w:type="gramEnd"/>
      <w:r>
        <w:t xml:space="preserve"> when suspended. There are four suspension points for the four suspension wires. </w:t>
      </w:r>
      <w:r w:rsidR="008A2C06">
        <w:t>The suspension point interface, shown in</w:t>
      </w:r>
      <w:r w:rsidR="00444FA1">
        <w:t xml:space="preserve"> </w:t>
      </w:r>
      <w:r w:rsidR="000C481E">
        <w:fldChar w:fldCharType="begin"/>
      </w:r>
      <w:r w:rsidR="000C481E">
        <w:instrText xml:space="preserve"> REF _Ref220152685 \h </w:instrText>
      </w:r>
      <w:r w:rsidR="000C481E">
        <w:fldChar w:fldCharType="separate"/>
      </w:r>
      <w:r w:rsidR="00D42C52">
        <w:t xml:space="preserve">Figure </w:t>
      </w:r>
      <w:r w:rsidR="00D42C52">
        <w:rPr>
          <w:noProof/>
        </w:rPr>
        <w:t>6</w:t>
      </w:r>
      <w:r w:rsidR="000C481E">
        <w:fldChar w:fldCharType="end"/>
      </w:r>
      <w:r w:rsidR="008A2C06">
        <w:t>, is designed to make it easy to install and remove the OMC from the suspension, without having to access the optics side of the breadboard.</w:t>
      </w:r>
    </w:p>
    <w:p w14:paraId="22B1F84B" w14:textId="77777777" w:rsidR="00444FA1" w:rsidRDefault="008A2C06" w:rsidP="00444FA1">
      <w:pPr>
        <w:keepNext/>
      </w:pPr>
      <w:r>
        <w:t xml:space="preserve"> </w:t>
      </w:r>
      <w:r w:rsidR="00444FA1">
        <w:rPr>
          <w:noProof/>
        </w:rPr>
        <w:drawing>
          <wp:inline distT="0" distB="0" distL="0" distR="0" wp14:anchorId="307EEBEC" wp14:editId="3DC5E824">
            <wp:extent cx="6089650" cy="4033520"/>
            <wp:effectExtent l="0" t="0" r="635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pointinterface.pdf"/>
                    <pic:cNvPicPr/>
                  </pic:nvPicPr>
                  <pic:blipFill>
                    <a:blip r:embed="rId22">
                      <a:extLst>
                        <a:ext uri="{28A0092B-C50C-407E-A947-70E740481C1C}">
                          <a14:useLocalDpi xmlns:a14="http://schemas.microsoft.com/office/drawing/2010/main" val="0"/>
                        </a:ext>
                      </a:extLst>
                    </a:blip>
                    <a:stretch>
                      <a:fillRect/>
                    </a:stretch>
                  </pic:blipFill>
                  <pic:spPr>
                    <a:xfrm>
                      <a:off x="0" y="0"/>
                      <a:ext cx="6089650" cy="4033520"/>
                    </a:xfrm>
                    <a:prstGeom prst="rect">
                      <a:avLst/>
                    </a:prstGeom>
                  </pic:spPr>
                </pic:pic>
              </a:graphicData>
            </a:graphic>
          </wp:inline>
        </w:drawing>
      </w:r>
    </w:p>
    <w:p w14:paraId="20718608" w14:textId="06373D9A" w:rsidR="006A133A" w:rsidRDefault="00444FA1" w:rsidP="00444FA1">
      <w:pPr>
        <w:pStyle w:val="Caption"/>
        <w:rPr>
          <w:b w:val="0"/>
          <w:sz w:val="22"/>
        </w:rPr>
      </w:pPr>
      <w:bookmarkStart w:id="7" w:name="_Ref220152685"/>
      <w:proofErr w:type="gramStart"/>
      <w:r>
        <w:t xml:space="preserve">Figure </w:t>
      </w:r>
      <w:proofErr w:type="gramEnd"/>
      <w:r>
        <w:fldChar w:fldCharType="begin"/>
      </w:r>
      <w:r>
        <w:instrText xml:space="preserve"> SEQ Figure \* ARABIC </w:instrText>
      </w:r>
      <w:r>
        <w:fldChar w:fldCharType="separate"/>
      </w:r>
      <w:r w:rsidR="00D42C52">
        <w:rPr>
          <w:noProof/>
        </w:rPr>
        <w:t>6</w:t>
      </w:r>
      <w:r>
        <w:fldChar w:fldCharType="end"/>
      </w:r>
      <w:bookmarkEnd w:id="7"/>
      <w:proofErr w:type="gramStart"/>
      <w:r>
        <w:t>.</w:t>
      </w:r>
      <w:proofErr w:type="gramEnd"/>
      <w:r>
        <w:rPr>
          <w:b w:val="0"/>
          <w:sz w:val="22"/>
        </w:rPr>
        <w:t xml:space="preserve"> Design for attachment of the suspension wires to the OMC breadboard. A cone-shaped beryllium copper ferrule is affixed to the end of each suspension wire (crimp attachment). This ferrule slips into a slot in the fused silica mount bracket (D1102209), and the conical shape of the ferrule keys into a conical counter-bore in the bracket. There are two such mounting points at each end of the breadboard (othe</w:t>
      </w:r>
      <w:r w:rsidR="000541D8">
        <w:rPr>
          <w:b w:val="0"/>
          <w:sz w:val="22"/>
        </w:rPr>
        <w:t>r end not shown), four overall.</w:t>
      </w:r>
      <w:r>
        <w:rPr>
          <w:b w:val="0"/>
          <w:sz w:val="22"/>
        </w:rPr>
        <w:t xml:space="preserve"> The mount bracket is bonded to the breadboard with UV-cure epoxy. (The u-channel gray blocks in the background are mounts used for balance masses.)</w:t>
      </w:r>
    </w:p>
    <w:p w14:paraId="5A20D761" w14:textId="77777777" w:rsidR="00805872" w:rsidRDefault="00805872" w:rsidP="00805872"/>
    <w:p w14:paraId="7A105378" w14:textId="5C6E2465" w:rsidR="004365BE" w:rsidRDefault="004365BE" w:rsidP="004365BE">
      <w:pPr>
        <w:pStyle w:val="Heading1"/>
      </w:pPr>
      <w:r>
        <w:t>Suspension modes</w:t>
      </w:r>
    </w:p>
    <w:p w14:paraId="1DCCA29E" w14:textId="2E000962" w:rsidR="003B6E9C" w:rsidRDefault="00775BCC" w:rsidP="004365BE">
      <w:r>
        <w:t xml:space="preserve">An OMC suspension model from M Barton was used to calculate the </w:t>
      </w:r>
      <w:proofErr w:type="spellStart"/>
      <w:r>
        <w:t>eigen</w:t>
      </w:r>
      <w:proofErr w:type="spellEnd"/>
      <w:r w:rsidR="003B6E9C">
        <w:t>-</w:t>
      </w:r>
      <w:r>
        <w:t>frequencies of the</w:t>
      </w:r>
      <w:r w:rsidR="003B6E9C">
        <w:t xml:space="preserve"> suspension; the following values use a suspension point that is 5 cm above the center-of-gravity of the payload</w:t>
      </w:r>
      <w:r w:rsidR="00E15170">
        <w:t xml:space="preserve"> (</w:t>
      </w:r>
      <w:r w:rsidR="00E15170" w:rsidRPr="00E15170">
        <w:rPr>
          <w:rFonts w:asciiTheme="majorHAnsi" w:hAnsiTheme="majorHAnsi"/>
        </w:rPr>
        <w:t>1</w:t>
      </w:r>
      <w:r w:rsidR="00E15170">
        <w:t xml:space="preserve"> refers to the payload and </w:t>
      </w:r>
      <w:r w:rsidR="00E15170" w:rsidRPr="00E15170">
        <w:rPr>
          <w:rFonts w:asciiTheme="majorHAnsi" w:hAnsiTheme="majorHAnsi"/>
        </w:rPr>
        <w:t>2</w:t>
      </w:r>
      <w:r w:rsidR="00E15170">
        <w:t xml:space="preserve"> to the intermediate stage)</w:t>
      </w:r>
      <w:r w:rsidR="003B6E9C">
        <w:t>:</w:t>
      </w:r>
    </w:p>
    <w:p w14:paraId="02D874E3" w14:textId="77777777" w:rsidR="003B6E9C" w:rsidRDefault="003B6E9C" w:rsidP="004365BE">
      <w:bookmarkStart w:id="8" w:name="_GoBack"/>
      <w:bookmarkEnd w:id="8"/>
    </w:p>
    <w:tbl>
      <w:tblPr>
        <w:tblStyle w:val="TableSimple2"/>
        <w:tblW w:w="4320" w:type="dxa"/>
        <w:jc w:val="center"/>
        <w:tblLook w:val="04A0" w:firstRow="1" w:lastRow="0" w:firstColumn="1" w:lastColumn="0" w:noHBand="0" w:noVBand="1"/>
      </w:tblPr>
      <w:tblGrid>
        <w:gridCol w:w="1955"/>
        <w:gridCol w:w="2365"/>
      </w:tblGrid>
      <w:tr w:rsidR="003B6E9C" w14:paraId="7CD3B651" w14:textId="77777777" w:rsidTr="003B6E9C">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955" w:type="dxa"/>
          </w:tcPr>
          <w:p w14:paraId="53FF466F" w14:textId="31E8FA45" w:rsidR="003B6E9C" w:rsidRPr="003B6E9C" w:rsidRDefault="003B6E9C" w:rsidP="003B6E9C">
            <w:pPr>
              <w:keepNext/>
              <w:jc w:val="center"/>
              <w:rPr>
                <w:rFonts w:asciiTheme="majorHAnsi" w:hAnsiTheme="majorHAnsi"/>
              </w:rPr>
            </w:pPr>
            <w:r w:rsidRPr="003B6E9C">
              <w:rPr>
                <w:rFonts w:asciiTheme="majorHAnsi" w:hAnsiTheme="majorHAnsi"/>
              </w:rPr>
              <w:lastRenderedPageBreak/>
              <w:t>Frequency (Hz)</w:t>
            </w:r>
          </w:p>
        </w:tc>
        <w:tc>
          <w:tcPr>
            <w:tcW w:w="2365" w:type="dxa"/>
          </w:tcPr>
          <w:p w14:paraId="033E01B2" w14:textId="51D6035B" w:rsidR="003B6E9C" w:rsidRPr="003B6E9C" w:rsidRDefault="003B6E9C" w:rsidP="003B6E9C">
            <w:pPr>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Mode</w:t>
            </w:r>
          </w:p>
        </w:tc>
      </w:tr>
      <w:tr w:rsidR="003B6E9C" w14:paraId="1E120327" w14:textId="77777777" w:rsidTr="00E15170">
        <w:trPr>
          <w:cantSplit/>
          <w:trHeight w:hRule="exact" w:val="389"/>
          <w:jc w:val="center"/>
        </w:trPr>
        <w:tc>
          <w:tcPr>
            <w:cnfStyle w:val="001000000000" w:firstRow="0" w:lastRow="0" w:firstColumn="1" w:lastColumn="0" w:oddVBand="0" w:evenVBand="0" w:oddHBand="0" w:evenHBand="0" w:firstRowFirstColumn="0" w:firstRowLastColumn="0" w:lastRowFirstColumn="0" w:lastRowLastColumn="0"/>
            <w:tcW w:w="1955" w:type="dxa"/>
            <w:vAlign w:val="center"/>
          </w:tcPr>
          <w:p w14:paraId="61064B85" w14:textId="1A4B8F2E" w:rsidR="003B6E9C" w:rsidRPr="003B6E9C" w:rsidRDefault="003B6E9C" w:rsidP="00E15170">
            <w:pPr>
              <w:keepNext/>
              <w:spacing w:before="0"/>
              <w:jc w:val="center"/>
              <w:rPr>
                <w:rFonts w:asciiTheme="majorHAnsi" w:hAnsiTheme="majorHAnsi"/>
              </w:rPr>
            </w:pPr>
            <w:r>
              <w:rPr>
                <w:rFonts w:asciiTheme="majorHAnsi" w:hAnsiTheme="majorHAnsi"/>
              </w:rPr>
              <w:t>0.48</w:t>
            </w:r>
          </w:p>
        </w:tc>
        <w:tc>
          <w:tcPr>
            <w:tcW w:w="2365" w:type="dxa"/>
            <w:vAlign w:val="center"/>
          </w:tcPr>
          <w:p w14:paraId="498C1518" w14:textId="680879DD" w:rsidR="003B6E9C" w:rsidRPr="003B6E9C" w:rsidRDefault="003B6E9C" w:rsidP="00E15170">
            <w:pPr>
              <w:keepNext/>
              <w:spacing w:befor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roofErr w:type="gramStart"/>
            <w:r>
              <w:rPr>
                <w:rFonts w:asciiTheme="majorHAnsi" w:hAnsiTheme="majorHAnsi"/>
              </w:rPr>
              <w:t>yaw2</w:t>
            </w:r>
            <w:proofErr w:type="gramEnd"/>
            <w:r>
              <w:rPr>
                <w:rFonts w:asciiTheme="majorHAnsi" w:hAnsiTheme="majorHAnsi"/>
              </w:rPr>
              <w:t>, yaw1</w:t>
            </w:r>
          </w:p>
        </w:tc>
      </w:tr>
      <w:tr w:rsidR="003B6E9C" w14:paraId="0C63B8FE" w14:textId="77777777" w:rsidTr="00E15170">
        <w:trPr>
          <w:cantSplit/>
          <w:trHeight w:hRule="exact" w:val="389"/>
          <w:jc w:val="center"/>
        </w:trPr>
        <w:tc>
          <w:tcPr>
            <w:cnfStyle w:val="001000000000" w:firstRow="0" w:lastRow="0" w:firstColumn="1" w:lastColumn="0" w:oddVBand="0" w:evenVBand="0" w:oddHBand="0" w:evenHBand="0" w:firstRowFirstColumn="0" w:firstRowLastColumn="0" w:lastRowFirstColumn="0" w:lastRowLastColumn="0"/>
            <w:tcW w:w="1955" w:type="dxa"/>
            <w:vAlign w:val="center"/>
          </w:tcPr>
          <w:p w14:paraId="340FA2F2" w14:textId="28380B52" w:rsidR="003B6E9C" w:rsidRPr="003B6E9C" w:rsidRDefault="003B6E9C" w:rsidP="00E15170">
            <w:pPr>
              <w:keepNext/>
              <w:spacing w:before="0"/>
              <w:jc w:val="center"/>
              <w:rPr>
                <w:rFonts w:asciiTheme="majorHAnsi" w:hAnsiTheme="majorHAnsi"/>
              </w:rPr>
            </w:pPr>
            <w:r>
              <w:rPr>
                <w:rFonts w:asciiTheme="majorHAnsi" w:hAnsiTheme="majorHAnsi"/>
              </w:rPr>
              <w:t>0.70</w:t>
            </w:r>
          </w:p>
        </w:tc>
        <w:tc>
          <w:tcPr>
            <w:tcW w:w="2365" w:type="dxa"/>
            <w:vAlign w:val="center"/>
          </w:tcPr>
          <w:p w14:paraId="56EAE518" w14:textId="7D436E5B" w:rsidR="003B6E9C" w:rsidRPr="003B6E9C" w:rsidRDefault="003B6E9C" w:rsidP="00E15170">
            <w:pPr>
              <w:keepNext/>
              <w:spacing w:befor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roofErr w:type="gramStart"/>
            <w:r>
              <w:rPr>
                <w:rFonts w:asciiTheme="majorHAnsi" w:hAnsiTheme="majorHAnsi"/>
              </w:rPr>
              <w:t>pitch2</w:t>
            </w:r>
            <w:proofErr w:type="gramEnd"/>
            <w:r>
              <w:rPr>
                <w:rFonts w:asciiTheme="majorHAnsi" w:hAnsiTheme="majorHAnsi"/>
              </w:rPr>
              <w:t>, pitch1</w:t>
            </w:r>
          </w:p>
        </w:tc>
      </w:tr>
      <w:tr w:rsidR="003B6E9C" w14:paraId="1E05BF63" w14:textId="77777777" w:rsidTr="00E15170">
        <w:trPr>
          <w:cantSplit/>
          <w:trHeight w:hRule="exact" w:val="389"/>
          <w:jc w:val="center"/>
        </w:trPr>
        <w:tc>
          <w:tcPr>
            <w:cnfStyle w:val="001000000000" w:firstRow="0" w:lastRow="0" w:firstColumn="1" w:lastColumn="0" w:oddVBand="0" w:evenVBand="0" w:oddHBand="0" w:evenHBand="0" w:firstRowFirstColumn="0" w:firstRowLastColumn="0" w:lastRowFirstColumn="0" w:lastRowLastColumn="0"/>
            <w:tcW w:w="1955" w:type="dxa"/>
            <w:vAlign w:val="center"/>
          </w:tcPr>
          <w:p w14:paraId="68BC91A2" w14:textId="1EED8CFA" w:rsidR="003B6E9C" w:rsidRPr="003B6E9C" w:rsidRDefault="003B6E9C" w:rsidP="00E15170">
            <w:pPr>
              <w:keepNext/>
              <w:spacing w:before="0"/>
              <w:jc w:val="center"/>
              <w:rPr>
                <w:rFonts w:asciiTheme="majorHAnsi" w:hAnsiTheme="majorHAnsi"/>
              </w:rPr>
            </w:pPr>
            <w:r>
              <w:rPr>
                <w:rFonts w:asciiTheme="majorHAnsi" w:hAnsiTheme="majorHAnsi"/>
              </w:rPr>
              <w:t>0.70</w:t>
            </w:r>
          </w:p>
        </w:tc>
        <w:tc>
          <w:tcPr>
            <w:tcW w:w="2365" w:type="dxa"/>
            <w:vAlign w:val="center"/>
          </w:tcPr>
          <w:p w14:paraId="252BD7E2" w14:textId="3077995E" w:rsidR="003B6E9C" w:rsidRPr="003B6E9C" w:rsidRDefault="003B6E9C" w:rsidP="00E15170">
            <w:pPr>
              <w:keepNext/>
              <w:spacing w:befor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roofErr w:type="gramStart"/>
            <w:r>
              <w:rPr>
                <w:rFonts w:asciiTheme="majorHAnsi" w:hAnsiTheme="majorHAnsi"/>
              </w:rPr>
              <w:t>roll2</w:t>
            </w:r>
            <w:proofErr w:type="gramEnd"/>
            <w:r>
              <w:rPr>
                <w:rFonts w:asciiTheme="majorHAnsi" w:hAnsiTheme="majorHAnsi"/>
              </w:rPr>
              <w:t>, roll1</w:t>
            </w:r>
          </w:p>
        </w:tc>
      </w:tr>
      <w:tr w:rsidR="003B6E9C" w14:paraId="44EBDD63" w14:textId="77777777" w:rsidTr="00E15170">
        <w:trPr>
          <w:cantSplit/>
          <w:trHeight w:hRule="exact" w:val="389"/>
          <w:jc w:val="center"/>
        </w:trPr>
        <w:tc>
          <w:tcPr>
            <w:cnfStyle w:val="001000000000" w:firstRow="0" w:lastRow="0" w:firstColumn="1" w:lastColumn="0" w:oddVBand="0" w:evenVBand="0" w:oddHBand="0" w:evenHBand="0" w:firstRowFirstColumn="0" w:firstRowLastColumn="0" w:lastRowFirstColumn="0" w:lastRowLastColumn="0"/>
            <w:tcW w:w="1955" w:type="dxa"/>
            <w:vAlign w:val="center"/>
          </w:tcPr>
          <w:p w14:paraId="5D8BFAFA" w14:textId="774365AA" w:rsidR="003B6E9C" w:rsidRPr="003B6E9C" w:rsidRDefault="003B6E9C" w:rsidP="00E15170">
            <w:pPr>
              <w:keepNext/>
              <w:spacing w:before="0"/>
              <w:jc w:val="center"/>
              <w:rPr>
                <w:rFonts w:asciiTheme="majorHAnsi" w:hAnsiTheme="majorHAnsi"/>
              </w:rPr>
            </w:pPr>
            <w:r>
              <w:rPr>
                <w:rFonts w:asciiTheme="majorHAnsi" w:hAnsiTheme="majorHAnsi"/>
              </w:rPr>
              <w:t>1.09</w:t>
            </w:r>
          </w:p>
        </w:tc>
        <w:tc>
          <w:tcPr>
            <w:tcW w:w="2365" w:type="dxa"/>
            <w:vAlign w:val="center"/>
          </w:tcPr>
          <w:p w14:paraId="5E2823A2" w14:textId="0BE2442F" w:rsidR="003B6E9C" w:rsidRPr="003B6E9C" w:rsidRDefault="003B6E9C" w:rsidP="00E15170">
            <w:pPr>
              <w:keepNext/>
              <w:spacing w:befor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roofErr w:type="gramStart"/>
            <w:r>
              <w:rPr>
                <w:rFonts w:asciiTheme="majorHAnsi" w:hAnsiTheme="majorHAnsi"/>
              </w:rPr>
              <w:t>roll2</w:t>
            </w:r>
            <w:proofErr w:type="gramEnd"/>
            <w:r>
              <w:rPr>
                <w:rFonts w:asciiTheme="majorHAnsi" w:hAnsiTheme="majorHAnsi"/>
              </w:rPr>
              <w:t>, roll1</w:t>
            </w:r>
          </w:p>
        </w:tc>
      </w:tr>
      <w:tr w:rsidR="003B6E9C" w14:paraId="7CD58977" w14:textId="77777777" w:rsidTr="00E15170">
        <w:trPr>
          <w:cantSplit/>
          <w:trHeight w:hRule="exact" w:val="389"/>
          <w:jc w:val="center"/>
        </w:trPr>
        <w:tc>
          <w:tcPr>
            <w:cnfStyle w:val="001000000000" w:firstRow="0" w:lastRow="0" w:firstColumn="1" w:lastColumn="0" w:oddVBand="0" w:evenVBand="0" w:oddHBand="0" w:evenHBand="0" w:firstRowFirstColumn="0" w:firstRowLastColumn="0" w:lastRowFirstColumn="0" w:lastRowLastColumn="0"/>
            <w:tcW w:w="1955" w:type="dxa"/>
            <w:vAlign w:val="center"/>
          </w:tcPr>
          <w:p w14:paraId="2798E925" w14:textId="6FA025A3" w:rsidR="003B6E9C" w:rsidRPr="003B6E9C" w:rsidRDefault="003B6E9C" w:rsidP="00E15170">
            <w:pPr>
              <w:keepNext/>
              <w:spacing w:before="0"/>
              <w:jc w:val="center"/>
              <w:rPr>
                <w:rFonts w:asciiTheme="majorHAnsi" w:hAnsiTheme="majorHAnsi"/>
              </w:rPr>
            </w:pPr>
            <w:r>
              <w:rPr>
                <w:rFonts w:asciiTheme="majorHAnsi" w:hAnsiTheme="majorHAnsi"/>
              </w:rPr>
              <w:t>1.12</w:t>
            </w:r>
          </w:p>
        </w:tc>
        <w:tc>
          <w:tcPr>
            <w:tcW w:w="2365" w:type="dxa"/>
            <w:vAlign w:val="center"/>
          </w:tcPr>
          <w:p w14:paraId="3035038A" w14:textId="36585EE1" w:rsidR="003B6E9C" w:rsidRPr="003B6E9C" w:rsidRDefault="003B6E9C" w:rsidP="00E15170">
            <w:pPr>
              <w:keepNext/>
              <w:spacing w:befor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roofErr w:type="gramStart"/>
            <w:r>
              <w:rPr>
                <w:rFonts w:asciiTheme="majorHAnsi" w:hAnsiTheme="majorHAnsi"/>
              </w:rPr>
              <w:t>z2</w:t>
            </w:r>
            <w:proofErr w:type="gramEnd"/>
            <w:r>
              <w:rPr>
                <w:rFonts w:asciiTheme="majorHAnsi" w:hAnsiTheme="majorHAnsi"/>
              </w:rPr>
              <w:t>, z1</w:t>
            </w:r>
          </w:p>
        </w:tc>
      </w:tr>
      <w:tr w:rsidR="003B6E9C" w14:paraId="2B3BD424" w14:textId="77777777" w:rsidTr="00E15170">
        <w:trPr>
          <w:cantSplit/>
          <w:trHeight w:hRule="exact" w:val="389"/>
          <w:jc w:val="center"/>
        </w:trPr>
        <w:tc>
          <w:tcPr>
            <w:cnfStyle w:val="001000000000" w:firstRow="0" w:lastRow="0" w:firstColumn="1" w:lastColumn="0" w:oddVBand="0" w:evenVBand="0" w:oddHBand="0" w:evenHBand="0" w:firstRowFirstColumn="0" w:firstRowLastColumn="0" w:lastRowFirstColumn="0" w:lastRowLastColumn="0"/>
            <w:tcW w:w="1955" w:type="dxa"/>
            <w:vAlign w:val="center"/>
          </w:tcPr>
          <w:p w14:paraId="27078D3F" w14:textId="6DD0DA38" w:rsidR="003B6E9C" w:rsidRPr="003B6E9C" w:rsidRDefault="003B6E9C" w:rsidP="00E15170">
            <w:pPr>
              <w:keepNext/>
              <w:spacing w:before="0"/>
              <w:jc w:val="center"/>
              <w:rPr>
                <w:rFonts w:asciiTheme="majorHAnsi" w:hAnsiTheme="majorHAnsi"/>
              </w:rPr>
            </w:pPr>
            <w:r>
              <w:rPr>
                <w:rFonts w:asciiTheme="majorHAnsi" w:hAnsiTheme="majorHAnsi"/>
              </w:rPr>
              <w:t>2.12</w:t>
            </w:r>
          </w:p>
        </w:tc>
        <w:tc>
          <w:tcPr>
            <w:tcW w:w="2365" w:type="dxa"/>
            <w:vAlign w:val="center"/>
          </w:tcPr>
          <w:p w14:paraId="67C27CD5" w14:textId="0C5894D2" w:rsidR="003B6E9C" w:rsidRPr="003B6E9C" w:rsidRDefault="003B6E9C" w:rsidP="00E15170">
            <w:pPr>
              <w:keepNext/>
              <w:spacing w:befor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roofErr w:type="gramStart"/>
            <w:r>
              <w:rPr>
                <w:rFonts w:asciiTheme="majorHAnsi" w:hAnsiTheme="majorHAnsi"/>
              </w:rPr>
              <w:t>pitch1</w:t>
            </w:r>
            <w:proofErr w:type="gramEnd"/>
            <w:r>
              <w:rPr>
                <w:rFonts w:asciiTheme="majorHAnsi" w:hAnsiTheme="majorHAnsi"/>
              </w:rPr>
              <w:t>, pitch2</w:t>
            </w:r>
          </w:p>
        </w:tc>
      </w:tr>
      <w:tr w:rsidR="003B6E9C" w14:paraId="7B944999" w14:textId="77777777" w:rsidTr="00E15170">
        <w:trPr>
          <w:cantSplit/>
          <w:trHeight w:hRule="exact" w:val="389"/>
          <w:jc w:val="center"/>
        </w:trPr>
        <w:tc>
          <w:tcPr>
            <w:cnfStyle w:val="001000000000" w:firstRow="0" w:lastRow="0" w:firstColumn="1" w:lastColumn="0" w:oddVBand="0" w:evenVBand="0" w:oddHBand="0" w:evenHBand="0" w:firstRowFirstColumn="0" w:firstRowLastColumn="0" w:lastRowFirstColumn="0" w:lastRowLastColumn="0"/>
            <w:tcW w:w="1955" w:type="dxa"/>
            <w:vAlign w:val="center"/>
          </w:tcPr>
          <w:p w14:paraId="31463DF9" w14:textId="005087DD" w:rsidR="003B6E9C" w:rsidRPr="003B6E9C" w:rsidRDefault="003B6E9C" w:rsidP="00E15170">
            <w:pPr>
              <w:keepNext/>
              <w:spacing w:before="0"/>
              <w:jc w:val="center"/>
              <w:rPr>
                <w:rFonts w:asciiTheme="majorHAnsi" w:hAnsiTheme="majorHAnsi"/>
              </w:rPr>
            </w:pPr>
            <w:r>
              <w:rPr>
                <w:rFonts w:asciiTheme="majorHAnsi" w:hAnsiTheme="majorHAnsi"/>
              </w:rPr>
              <w:t>2.56</w:t>
            </w:r>
          </w:p>
        </w:tc>
        <w:tc>
          <w:tcPr>
            <w:tcW w:w="2365" w:type="dxa"/>
            <w:vAlign w:val="center"/>
          </w:tcPr>
          <w:p w14:paraId="6EC44B93" w14:textId="7B8D5D79" w:rsidR="003B6E9C" w:rsidRPr="003B6E9C" w:rsidRDefault="003B6E9C" w:rsidP="00E15170">
            <w:pPr>
              <w:keepNext/>
              <w:spacing w:befor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roofErr w:type="gramStart"/>
            <w:r>
              <w:rPr>
                <w:rFonts w:asciiTheme="majorHAnsi" w:hAnsiTheme="majorHAnsi"/>
              </w:rPr>
              <w:t>y1</w:t>
            </w:r>
            <w:proofErr w:type="gramEnd"/>
            <w:r>
              <w:rPr>
                <w:rFonts w:asciiTheme="majorHAnsi" w:hAnsiTheme="majorHAnsi"/>
              </w:rPr>
              <w:t>, roll1</w:t>
            </w:r>
          </w:p>
        </w:tc>
      </w:tr>
      <w:tr w:rsidR="003B6E9C" w14:paraId="7A7EC78E" w14:textId="77777777" w:rsidTr="00E15170">
        <w:trPr>
          <w:cantSplit/>
          <w:trHeight w:hRule="exact" w:val="389"/>
          <w:jc w:val="center"/>
        </w:trPr>
        <w:tc>
          <w:tcPr>
            <w:cnfStyle w:val="001000000000" w:firstRow="0" w:lastRow="0" w:firstColumn="1" w:lastColumn="0" w:oddVBand="0" w:evenVBand="0" w:oddHBand="0" w:evenHBand="0" w:firstRowFirstColumn="0" w:firstRowLastColumn="0" w:lastRowFirstColumn="0" w:lastRowLastColumn="0"/>
            <w:tcW w:w="1955" w:type="dxa"/>
            <w:vAlign w:val="center"/>
          </w:tcPr>
          <w:p w14:paraId="7880DE0A" w14:textId="08BAF5DB" w:rsidR="003B6E9C" w:rsidRDefault="003B6E9C" w:rsidP="00E15170">
            <w:pPr>
              <w:keepNext/>
              <w:spacing w:before="0"/>
              <w:jc w:val="center"/>
              <w:rPr>
                <w:rFonts w:asciiTheme="majorHAnsi" w:hAnsiTheme="majorHAnsi"/>
              </w:rPr>
            </w:pPr>
            <w:r>
              <w:rPr>
                <w:rFonts w:asciiTheme="majorHAnsi" w:hAnsiTheme="majorHAnsi"/>
              </w:rPr>
              <w:t>2.78</w:t>
            </w:r>
          </w:p>
        </w:tc>
        <w:tc>
          <w:tcPr>
            <w:tcW w:w="2365" w:type="dxa"/>
            <w:vAlign w:val="center"/>
          </w:tcPr>
          <w:p w14:paraId="02D32D55" w14:textId="42D50924" w:rsidR="003B6E9C" w:rsidRPr="003B6E9C" w:rsidRDefault="003B6E9C" w:rsidP="00E15170">
            <w:pPr>
              <w:keepNext/>
              <w:spacing w:befor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roofErr w:type="gramStart"/>
            <w:r>
              <w:rPr>
                <w:rFonts w:asciiTheme="majorHAnsi" w:hAnsiTheme="majorHAnsi"/>
              </w:rPr>
              <w:t>pitch1</w:t>
            </w:r>
            <w:proofErr w:type="gramEnd"/>
          </w:p>
        </w:tc>
      </w:tr>
      <w:tr w:rsidR="003B6E9C" w14:paraId="73F5D4D6" w14:textId="77777777" w:rsidTr="00E15170">
        <w:trPr>
          <w:cantSplit/>
          <w:trHeight w:hRule="exact" w:val="389"/>
          <w:jc w:val="center"/>
        </w:trPr>
        <w:tc>
          <w:tcPr>
            <w:cnfStyle w:val="001000000000" w:firstRow="0" w:lastRow="0" w:firstColumn="1" w:lastColumn="0" w:oddVBand="0" w:evenVBand="0" w:oddHBand="0" w:evenHBand="0" w:firstRowFirstColumn="0" w:firstRowLastColumn="0" w:lastRowFirstColumn="0" w:lastRowLastColumn="0"/>
            <w:tcW w:w="1955" w:type="dxa"/>
            <w:vAlign w:val="center"/>
          </w:tcPr>
          <w:p w14:paraId="364515C1" w14:textId="07767EC5" w:rsidR="003B6E9C" w:rsidRDefault="003B6E9C" w:rsidP="00E15170">
            <w:pPr>
              <w:keepNext/>
              <w:spacing w:before="0"/>
              <w:jc w:val="center"/>
              <w:rPr>
                <w:rFonts w:asciiTheme="majorHAnsi" w:hAnsiTheme="majorHAnsi"/>
              </w:rPr>
            </w:pPr>
            <w:r>
              <w:rPr>
                <w:rFonts w:asciiTheme="majorHAnsi" w:hAnsiTheme="majorHAnsi"/>
              </w:rPr>
              <w:t>3.60</w:t>
            </w:r>
          </w:p>
        </w:tc>
        <w:tc>
          <w:tcPr>
            <w:tcW w:w="2365" w:type="dxa"/>
            <w:vAlign w:val="center"/>
          </w:tcPr>
          <w:p w14:paraId="13606455" w14:textId="082EE3AC" w:rsidR="003B6E9C" w:rsidRPr="003B6E9C" w:rsidRDefault="003B6E9C" w:rsidP="00E15170">
            <w:pPr>
              <w:keepNext/>
              <w:spacing w:befor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roofErr w:type="gramStart"/>
            <w:r>
              <w:rPr>
                <w:rFonts w:asciiTheme="majorHAnsi" w:hAnsiTheme="majorHAnsi"/>
              </w:rPr>
              <w:t>yaw1</w:t>
            </w:r>
            <w:proofErr w:type="gramEnd"/>
          </w:p>
        </w:tc>
      </w:tr>
      <w:tr w:rsidR="003B6E9C" w14:paraId="0369B114" w14:textId="77777777" w:rsidTr="00E15170">
        <w:trPr>
          <w:cantSplit/>
          <w:trHeight w:hRule="exact" w:val="389"/>
          <w:jc w:val="center"/>
        </w:trPr>
        <w:tc>
          <w:tcPr>
            <w:cnfStyle w:val="001000000000" w:firstRow="0" w:lastRow="0" w:firstColumn="1" w:lastColumn="0" w:oddVBand="0" w:evenVBand="0" w:oddHBand="0" w:evenHBand="0" w:firstRowFirstColumn="0" w:firstRowLastColumn="0" w:lastRowFirstColumn="0" w:lastRowLastColumn="0"/>
            <w:tcW w:w="1955" w:type="dxa"/>
            <w:vAlign w:val="center"/>
          </w:tcPr>
          <w:p w14:paraId="0BFCD5BB" w14:textId="67EA057C" w:rsidR="003B6E9C" w:rsidRDefault="003B6E9C" w:rsidP="00E15170">
            <w:pPr>
              <w:keepNext/>
              <w:spacing w:before="0"/>
              <w:jc w:val="center"/>
              <w:rPr>
                <w:rFonts w:asciiTheme="majorHAnsi" w:hAnsiTheme="majorHAnsi"/>
              </w:rPr>
            </w:pPr>
            <w:r>
              <w:rPr>
                <w:rFonts w:asciiTheme="majorHAnsi" w:hAnsiTheme="majorHAnsi"/>
              </w:rPr>
              <w:t>4.03</w:t>
            </w:r>
          </w:p>
        </w:tc>
        <w:tc>
          <w:tcPr>
            <w:tcW w:w="2365" w:type="dxa"/>
            <w:vAlign w:val="center"/>
          </w:tcPr>
          <w:p w14:paraId="7DA022F3" w14:textId="1B26C574" w:rsidR="003B6E9C" w:rsidRPr="003B6E9C" w:rsidRDefault="003B6E9C" w:rsidP="00E15170">
            <w:pPr>
              <w:keepNext/>
              <w:spacing w:befor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roofErr w:type="gramStart"/>
            <w:r>
              <w:rPr>
                <w:rFonts w:asciiTheme="majorHAnsi" w:hAnsiTheme="majorHAnsi"/>
              </w:rPr>
              <w:t>pitch1</w:t>
            </w:r>
            <w:proofErr w:type="gramEnd"/>
          </w:p>
        </w:tc>
      </w:tr>
      <w:tr w:rsidR="003B6E9C" w14:paraId="5F1DA025" w14:textId="77777777" w:rsidTr="00E15170">
        <w:trPr>
          <w:cantSplit/>
          <w:trHeight w:hRule="exact" w:val="389"/>
          <w:jc w:val="center"/>
        </w:trPr>
        <w:tc>
          <w:tcPr>
            <w:cnfStyle w:val="001000000000" w:firstRow="0" w:lastRow="0" w:firstColumn="1" w:lastColumn="0" w:oddVBand="0" w:evenVBand="0" w:oddHBand="0" w:evenHBand="0" w:firstRowFirstColumn="0" w:firstRowLastColumn="0" w:lastRowFirstColumn="0" w:lastRowLastColumn="0"/>
            <w:tcW w:w="1955" w:type="dxa"/>
            <w:vAlign w:val="center"/>
          </w:tcPr>
          <w:p w14:paraId="02B3C042" w14:textId="0E95849C" w:rsidR="003B6E9C" w:rsidRDefault="003B6E9C" w:rsidP="00E15170">
            <w:pPr>
              <w:keepNext/>
              <w:spacing w:before="0"/>
              <w:jc w:val="center"/>
              <w:rPr>
                <w:rFonts w:asciiTheme="majorHAnsi" w:hAnsiTheme="majorHAnsi"/>
              </w:rPr>
            </w:pPr>
            <w:r>
              <w:rPr>
                <w:rFonts w:asciiTheme="majorHAnsi" w:hAnsiTheme="majorHAnsi"/>
              </w:rPr>
              <w:t>4.48</w:t>
            </w:r>
          </w:p>
        </w:tc>
        <w:tc>
          <w:tcPr>
            <w:tcW w:w="2365" w:type="dxa"/>
            <w:vAlign w:val="center"/>
          </w:tcPr>
          <w:p w14:paraId="44E34D69" w14:textId="01B35E57" w:rsidR="003B6E9C" w:rsidRPr="003B6E9C" w:rsidRDefault="003B6E9C" w:rsidP="00E15170">
            <w:pPr>
              <w:keepNext/>
              <w:spacing w:befor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roofErr w:type="gramStart"/>
            <w:r>
              <w:rPr>
                <w:rFonts w:asciiTheme="majorHAnsi" w:hAnsiTheme="majorHAnsi"/>
              </w:rPr>
              <w:t>z1</w:t>
            </w:r>
            <w:proofErr w:type="gramEnd"/>
          </w:p>
        </w:tc>
      </w:tr>
    </w:tbl>
    <w:p w14:paraId="5F5F0C77" w14:textId="27008D58" w:rsidR="004365BE" w:rsidRPr="004365BE" w:rsidRDefault="004365BE" w:rsidP="004365BE"/>
    <w:p w14:paraId="38F39515" w14:textId="04744B04" w:rsidR="00805872" w:rsidRDefault="00805872" w:rsidP="00805872">
      <w:pPr>
        <w:pStyle w:val="Heading1"/>
      </w:pPr>
      <w:r>
        <w:t>Balance masses</w:t>
      </w:r>
    </w:p>
    <w:p w14:paraId="73AB0F3B" w14:textId="454E62AE" w:rsidR="00805872" w:rsidRDefault="00805872" w:rsidP="00805872">
      <w:r>
        <w:t>The total mass of the OMC breadboard, including everything except bal</w:t>
      </w:r>
      <w:r w:rsidR="003A7F97">
        <w:t>ance masses, is 6.828</w:t>
      </w:r>
      <w:r>
        <w:t xml:space="preserve"> kg.</w:t>
      </w:r>
      <w:r w:rsidR="003A7F97">
        <w:t xml:space="preserve"> For balance/trim masses, we use the Additional Mass Disks designed for the triple suspension. These come in masses of 100, 50, 20, 10, 5 and 2 grams. They screw onto a bracket, which in turned is mounted to a pair of glass mount blocks; see </w:t>
      </w:r>
      <w:r w:rsidR="006E5D47">
        <w:fldChar w:fldCharType="begin"/>
      </w:r>
      <w:r w:rsidR="006E5D47">
        <w:instrText xml:space="preserve"> REF _Ref220593300 \h </w:instrText>
      </w:r>
      <w:r w:rsidR="006E5D47">
        <w:fldChar w:fldCharType="separate"/>
      </w:r>
      <w:r w:rsidR="00D42C52" w:rsidRPr="00870F91">
        <w:rPr>
          <w:sz w:val="22"/>
        </w:rPr>
        <w:t xml:space="preserve">Figure </w:t>
      </w:r>
      <w:r w:rsidR="00D42C52">
        <w:rPr>
          <w:noProof/>
          <w:sz w:val="22"/>
        </w:rPr>
        <w:t>7</w:t>
      </w:r>
      <w:r w:rsidR="006E5D47">
        <w:fldChar w:fldCharType="end"/>
      </w:r>
      <w:r w:rsidR="006E5D47">
        <w:t>.</w:t>
      </w:r>
    </w:p>
    <w:p w14:paraId="7E9373B0" w14:textId="77777777" w:rsidR="00870F91" w:rsidRDefault="003A7F97" w:rsidP="00870F91">
      <w:pPr>
        <w:keepNext/>
      </w:pPr>
      <w:r>
        <w:rPr>
          <w:noProof/>
        </w:rPr>
        <w:lastRenderedPageBreak/>
        <w:drawing>
          <wp:inline distT="0" distB="0" distL="0" distR="0" wp14:anchorId="03092D63" wp14:editId="43BC86AD">
            <wp:extent cx="6089650" cy="338328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nceMasses.pdf"/>
                    <pic:cNvPicPr/>
                  </pic:nvPicPr>
                  <pic:blipFill>
                    <a:blip r:embed="rId23">
                      <a:extLst>
                        <a:ext uri="{28A0092B-C50C-407E-A947-70E740481C1C}">
                          <a14:useLocalDpi xmlns:a14="http://schemas.microsoft.com/office/drawing/2010/main" val="0"/>
                        </a:ext>
                      </a:extLst>
                    </a:blip>
                    <a:stretch>
                      <a:fillRect/>
                    </a:stretch>
                  </pic:blipFill>
                  <pic:spPr>
                    <a:xfrm>
                      <a:off x="0" y="0"/>
                      <a:ext cx="6089650" cy="3383280"/>
                    </a:xfrm>
                    <a:prstGeom prst="rect">
                      <a:avLst/>
                    </a:prstGeom>
                  </pic:spPr>
                </pic:pic>
              </a:graphicData>
            </a:graphic>
          </wp:inline>
        </w:drawing>
      </w:r>
    </w:p>
    <w:p w14:paraId="3BB13A04" w14:textId="008007B0" w:rsidR="003A7F97" w:rsidRDefault="00870F91" w:rsidP="00870F91">
      <w:pPr>
        <w:pStyle w:val="Caption"/>
        <w:rPr>
          <w:b w:val="0"/>
          <w:sz w:val="22"/>
        </w:rPr>
      </w:pPr>
      <w:bookmarkStart w:id="9" w:name="_Ref220593300"/>
      <w:proofErr w:type="gramStart"/>
      <w:r w:rsidRPr="00870F91">
        <w:rPr>
          <w:sz w:val="22"/>
        </w:rPr>
        <w:t xml:space="preserve">Figure </w:t>
      </w:r>
      <w:proofErr w:type="gramEnd"/>
      <w:r w:rsidRPr="00870F91">
        <w:rPr>
          <w:sz w:val="22"/>
        </w:rPr>
        <w:fldChar w:fldCharType="begin"/>
      </w:r>
      <w:r w:rsidRPr="00870F91">
        <w:rPr>
          <w:sz w:val="22"/>
        </w:rPr>
        <w:instrText xml:space="preserve"> SEQ Figure \* ARABIC </w:instrText>
      </w:r>
      <w:r w:rsidRPr="00870F91">
        <w:rPr>
          <w:sz w:val="22"/>
        </w:rPr>
        <w:fldChar w:fldCharType="separate"/>
      </w:r>
      <w:r w:rsidR="00D42C52">
        <w:rPr>
          <w:noProof/>
          <w:sz w:val="22"/>
        </w:rPr>
        <w:t>7</w:t>
      </w:r>
      <w:r w:rsidRPr="00870F91">
        <w:rPr>
          <w:sz w:val="22"/>
        </w:rPr>
        <w:fldChar w:fldCharType="end"/>
      </w:r>
      <w:bookmarkEnd w:id="9"/>
      <w:proofErr w:type="gramStart"/>
      <w:r>
        <w:t>.</w:t>
      </w:r>
      <w:proofErr w:type="gramEnd"/>
      <w:r>
        <w:rPr>
          <w:sz w:val="22"/>
        </w:rPr>
        <w:t xml:space="preserve"> </w:t>
      </w:r>
      <w:r>
        <w:rPr>
          <w:b w:val="0"/>
          <w:sz w:val="22"/>
        </w:rPr>
        <w:t xml:space="preserve">OMC balancing: each end of the breadboard has a bracket (green) onto which balance masses can be added (red and blue disks). The bracket also holds pegs for strain-relieving cables as they are routed from the bottom of the breadboard to the cable bracket; cables are secured to the pegs using aluminum cable wraps. This picture also shows the cable bracket, containing the five cable connections, which is mounted at the center of the </w:t>
      </w:r>
      <w:proofErr w:type="gramStart"/>
      <w:r>
        <w:rPr>
          <w:b w:val="0"/>
          <w:sz w:val="22"/>
        </w:rPr>
        <w:t>top side</w:t>
      </w:r>
      <w:proofErr w:type="gramEnd"/>
      <w:r>
        <w:rPr>
          <w:b w:val="0"/>
          <w:sz w:val="22"/>
        </w:rPr>
        <w:t xml:space="preserve"> of the breadboard.</w:t>
      </w:r>
    </w:p>
    <w:p w14:paraId="67B8C38D" w14:textId="77777777" w:rsidR="0052577A" w:rsidRPr="0052577A" w:rsidRDefault="0052577A" w:rsidP="0052577A"/>
    <w:p w14:paraId="66D84AE3" w14:textId="590BB8D2" w:rsidR="00DA30F8" w:rsidRDefault="00CC3B46" w:rsidP="00CC3B46">
      <w:pPr>
        <w:pStyle w:val="Heading1"/>
      </w:pPr>
      <w:r>
        <w:t>Earthquake stops</w:t>
      </w:r>
    </w:p>
    <w:p w14:paraId="1C147CFD" w14:textId="70437A53" w:rsidR="00CC3B46" w:rsidRDefault="00CC3B46" w:rsidP="00CC3B46">
      <w:r>
        <w:t xml:space="preserve">The design of the earthquake </w:t>
      </w:r>
      <w:r w:rsidR="0052577A">
        <w:t xml:space="preserve">(EQ) </w:t>
      </w:r>
      <w:r>
        <w:t>s</w:t>
      </w:r>
      <w:r w:rsidR="001270C1">
        <w:t xml:space="preserve">tops for the OMC is shown in </w:t>
      </w:r>
      <w:r w:rsidR="001270C1">
        <w:fldChar w:fldCharType="begin"/>
      </w:r>
      <w:r w:rsidR="001270C1">
        <w:instrText xml:space="preserve"> REF _Ref220752843 \h </w:instrText>
      </w:r>
      <w:r w:rsidR="001270C1">
        <w:fldChar w:fldCharType="separate"/>
      </w:r>
      <w:r w:rsidR="00D42C52">
        <w:t xml:space="preserve">Figure </w:t>
      </w:r>
      <w:r w:rsidR="00D42C52">
        <w:rPr>
          <w:noProof/>
        </w:rPr>
        <w:t>8</w:t>
      </w:r>
      <w:r w:rsidR="001270C1">
        <w:fldChar w:fldCharType="end"/>
      </w:r>
      <w:r>
        <w:t xml:space="preserve">. </w:t>
      </w:r>
      <w:r w:rsidR="001270C1">
        <w:t xml:space="preserve">A key feature is that </w:t>
      </w:r>
      <w:r w:rsidR="0052577A">
        <w:t xml:space="preserve">each EQ stop has only two positions: either ‘in’ for clamping, or retracted/out. </w:t>
      </w:r>
      <w:proofErr w:type="gramStart"/>
      <w:r w:rsidR="0052577A">
        <w:t>The eliminates</w:t>
      </w:r>
      <w:proofErr w:type="gramEnd"/>
      <w:r w:rsidR="0052577A">
        <w:t xml:space="preserve"> the need to adjust the gap on each stop when the payload is hung.</w:t>
      </w:r>
    </w:p>
    <w:p w14:paraId="5E645DB9" w14:textId="77777777" w:rsidR="00E473B6" w:rsidRDefault="00E473B6" w:rsidP="00CC3B46"/>
    <w:p w14:paraId="1DC6DEAC" w14:textId="16199A33" w:rsidR="00E473B6" w:rsidRPr="00CC3B46" w:rsidRDefault="001270C1" w:rsidP="00CC3B46">
      <w:r>
        <w:rPr>
          <w:noProof/>
        </w:rPr>
        <w:lastRenderedPageBreak/>
        <mc:AlternateContent>
          <mc:Choice Requires="wps">
            <w:drawing>
              <wp:anchor distT="0" distB="0" distL="114300" distR="114300" simplePos="0" relativeHeight="251670528" behindDoc="0" locked="0" layoutInCell="1" allowOverlap="1" wp14:anchorId="6F3D62BA" wp14:editId="672157A2">
                <wp:simplePos x="0" y="0"/>
                <wp:positionH relativeFrom="column">
                  <wp:posOffset>467360</wp:posOffset>
                </wp:positionH>
                <wp:positionV relativeFrom="paragraph">
                  <wp:posOffset>3296920</wp:posOffset>
                </wp:positionV>
                <wp:extent cx="5257800" cy="1130935"/>
                <wp:effectExtent l="0" t="0" r="0" b="2540"/>
                <wp:wrapThrough wrapText="bothSides">
                  <wp:wrapPolygon edited="0">
                    <wp:start x="0" y="0"/>
                    <wp:lineTo x="0" y="20093"/>
                    <wp:lineTo x="21496" y="20093"/>
                    <wp:lineTo x="21496" y="0"/>
                    <wp:lineTo x="0" y="0"/>
                  </wp:wrapPolygon>
                </wp:wrapThrough>
                <wp:docPr id="22" name="Text Box 22"/>
                <wp:cNvGraphicFramePr/>
                <a:graphic xmlns:a="http://schemas.openxmlformats.org/drawingml/2006/main">
                  <a:graphicData uri="http://schemas.microsoft.com/office/word/2010/wordprocessingShape">
                    <wps:wsp>
                      <wps:cNvSpPr txBox="1"/>
                      <wps:spPr>
                        <a:xfrm>
                          <a:off x="0" y="0"/>
                          <a:ext cx="5257800" cy="113093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5D9E4C2" w14:textId="4D1F5FA8" w:rsidR="00575BBF" w:rsidRPr="001270C1" w:rsidRDefault="00575BBF" w:rsidP="001270C1">
                            <w:pPr>
                              <w:pStyle w:val="Caption"/>
                              <w:rPr>
                                <w:rFonts w:ascii="Courier" w:hAnsi="Courier" w:cs="Courier"/>
                                <w:b w:val="0"/>
                                <w:noProof/>
                                <w:sz w:val="22"/>
                              </w:rPr>
                            </w:pPr>
                            <w:bookmarkStart w:id="10" w:name="_Ref220752843"/>
                            <w:proofErr w:type="gramStart"/>
                            <w:r>
                              <w:t xml:space="preserve">Figure </w:t>
                            </w:r>
                            <w:proofErr w:type="gramEnd"/>
                            <w:r>
                              <w:fldChar w:fldCharType="begin"/>
                            </w:r>
                            <w:r>
                              <w:instrText xml:space="preserve"> SEQ Figure \* ARABIC </w:instrText>
                            </w:r>
                            <w:r>
                              <w:fldChar w:fldCharType="separate"/>
                            </w:r>
                            <w:r w:rsidR="00D42C52">
                              <w:rPr>
                                <w:noProof/>
                              </w:rPr>
                              <w:t>8</w:t>
                            </w:r>
                            <w:r>
                              <w:fldChar w:fldCharType="end"/>
                            </w:r>
                            <w:bookmarkEnd w:id="10"/>
                            <w:proofErr w:type="gramStart"/>
                            <w:r>
                              <w:t>.</w:t>
                            </w:r>
                            <w:proofErr w:type="gramEnd"/>
                            <w:r>
                              <w:t xml:space="preserve"> </w:t>
                            </w:r>
                            <w:r>
                              <w:rPr>
                                <w:b w:val="0"/>
                                <w:sz w:val="22"/>
                              </w:rPr>
                              <w:t>Earthquake stops at one end of the OMC breadboard; the same design exists at the other end of the breadboard. Each end of the board has 6 stops, as shown. The blue brackets attach to the suspension structure, and can be adjusted in position to line up with the breadboard. Each stop is meant to be set in one of two positions—</w:t>
                            </w:r>
                            <w:proofErr w:type="gramStart"/>
                            <w:r>
                              <w:rPr>
                                <w:b w:val="0"/>
                                <w:sz w:val="22"/>
                              </w:rPr>
                              <w:t>either ‘in’</w:t>
                            </w:r>
                            <w:proofErr w:type="gramEnd"/>
                            <w:r>
                              <w:rPr>
                                <w:b w:val="0"/>
                                <w:sz w:val="22"/>
                              </w:rPr>
                              <w:t xml:space="preserve"> or ‘out’—by adjustment of the thumbscrew. When ‘in’ the stop tip contacts the breadboard; when ‘out’, there is a 1.5 mm gap. The stop tips are made of electrically conductive PEEK.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2" o:spid="_x0000_s1028" type="#_x0000_t202" style="position:absolute;left:0;text-align:left;margin-left:36.8pt;margin-top:259.6pt;width:414pt;height:89.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" stroked="f">
                <v:textbox style="mso-fit-shape-to-text:t" inset="0,0,0,0">
                  <w:txbxContent>
                    <w:p w14:paraId="55D9E4C2" w14:textId="4D1F5FA8" w:rsidR="00575BBF" w:rsidRPr="001270C1" w:rsidRDefault="00575BBF" w:rsidP="001270C1">
                      <w:pPr>
                        <w:pStyle w:val="Caption"/>
                        <w:rPr>
                          <w:rFonts w:ascii="Courier" w:hAnsi="Courier" w:cs="Courier"/>
                          <w:b w:val="0"/>
                          <w:noProof/>
                          <w:sz w:val="22"/>
                        </w:rPr>
                      </w:pPr>
                      <w:bookmarkStart w:id="11" w:name="_Ref220752843"/>
                      <w:proofErr w:type="gramStart"/>
                      <w:r>
                        <w:t xml:space="preserve">Figure </w:t>
                      </w:r>
                      <w:proofErr w:type="gramEnd"/>
                      <w:r>
                        <w:fldChar w:fldCharType="begin"/>
                      </w:r>
                      <w:r>
                        <w:instrText xml:space="preserve"> SEQ Figure \* ARABIC </w:instrText>
                      </w:r>
                      <w:r>
                        <w:fldChar w:fldCharType="separate"/>
                      </w:r>
                      <w:r w:rsidR="00D42C52">
                        <w:rPr>
                          <w:noProof/>
                        </w:rPr>
                        <w:t>8</w:t>
                      </w:r>
                      <w:r>
                        <w:fldChar w:fldCharType="end"/>
                      </w:r>
                      <w:bookmarkEnd w:id="11"/>
                      <w:proofErr w:type="gramStart"/>
                      <w:r>
                        <w:t>.</w:t>
                      </w:r>
                      <w:proofErr w:type="gramEnd"/>
                      <w:r>
                        <w:t xml:space="preserve"> </w:t>
                      </w:r>
                      <w:r>
                        <w:rPr>
                          <w:b w:val="0"/>
                          <w:sz w:val="22"/>
                        </w:rPr>
                        <w:t>Earthquake stops at one end of the OMC breadboard; the same design exists at the other end of the breadboard. Each end of the board has 6 stops, as shown. The blue brackets attach to the suspension structure, and can be adjusted in position to line up with the breadboard. Each stop is meant to be set in one of two positions—</w:t>
                      </w:r>
                      <w:proofErr w:type="gramStart"/>
                      <w:r>
                        <w:rPr>
                          <w:b w:val="0"/>
                          <w:sz w:val="22"/>
                        </w:rPr>
                        <w:t>either ‘in’</w:t>
                      </w:r>
                      <w:proofErr w:type="gramEnd"/>
                      <w:r>
                        <w:rPr>
                          <w:b w:val="0"/>
                          <w:sz w:val="22"/>
                        </w:rPr>
                        <w:t xml:space="preserve"> or ‘out’—by adjustment of the thumbscrew. When ‘in’ the stop tip contacts the breadboard; when ‘out’, there is a 1.5 mm gap. The stop tips are made of electrically conductive PEEK. </w:t>
                      </w:r>
                    </w:p>
                  </w:txbxContent>
                </v:textbox>
                <w10:wrap type="through"/>
              </v:shape>
            </w:pict>
          </mc:Fallback>
        </mc:AlternateContent>
      </w:r>
      <w:r w:rsidR="00E473B6">
        <w:rPr>
          <w:rFonts w:ascii="Courier" w:hAnsi="Courier" w:cs="Courier"/>
          <w:noProof/>
          <w:szCs w:val="24"/>
        </w:rPr>
        <w:drawing>
          <wp:anchor distT="0" distB="0" distL="114300" distR="114300" simplePos="0" relativeHeight="251668480" behindDoc="0" locked="0" layoutInCell="1" allowOverlap="1" wp14:anchorId="4BF2C05D" wp14:editId="173BAAF3">
            <wp:simplePos x="0" y="0"/>
            <wp:positionH relativeFrom="column">
              <wp:align>center</wp:align>
            </wp:positionH>
            <wp:positionV relativeFrom="paragraph">
              <wp:posOffset>0</wp:posOffset>
            </wp:positionV>
            <wp:extent cx="3469005" cy="3239770"/>
            <wp:effectExtent l="0" t="0" r="10795" b="11430"/>
            <wp:wrapTopAndBottom/>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9641" cy="3240972"/>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27005560" w14:textId="42DA0220" w:rsidR="00DA30F8" w:rsidRDefault="00DA30F8" w:rsidP="00DA30F8">
      <w:pPr>
        <w:pStyle w:val="Heading1"/>
      </w:pPr>
      <w:r>
        <w:t>Comparison to Enhanced LIGO OMC</w:t>
      </w:r>
    </w:p>
    <w:p w14:paraId="52D7FB8C" w14:textId="42CBFBF7" w:rsidR="00DA30F8" w:rsidRDefault="00DA30F8" w:rsidP="00DA30F8">
      <w:r>
        <w:t xml:space="preserve">The </w:t>
      </w:r>
      <w:proofErr w:type="spellStart"/>
      <w:r>
        <w:t>aLIGO</w:t>
      </w:r>
      <w:proofErr w:type="spellEnd"/>
      <w:r>
        <w:t xml:space="preserve"> OMC incorporates several </w:t>
      </w:r>
      <w:r w:rsidR="00CA10D8">
        <w:t>changes/</w:t>
      </w:r>
      <w:r>
        <w:t xml:space="preserve">improvements compared to the </w:t>
      </w:r>
      <w:proofErr w:type="spellStart"/>
      <w:r>
        <w:t>eLIGO</w:t>
      </w:r>
      <w:proofErr w:type="spellEnd"/>
      <w:r>
        <w:t xml:space="preserve"> design:</w:t>
      </w:r>
    </w:p>
    <w:p w14:paraId="787CAE28" w14:textId="73ACF8A3" w:rsidR="00DA30F8" w:rsidRDefault="00DA30F8" w:rsidP="00DA30F8">
      <w:pPr>
        <w:pStyle w:val="ListParagraph"/>
        <w:numPr>
          <w:ilvl w:val="0"/>
          <w:numId w:val="49"/>
        </w:numPr>
      </w:pPr>
      <w:r>
        <w:t>Photodiode mounts redesigned for easier assembly, easier diode replacement, and better visibility of diode</w:t>
      </w:r>
    </w:p>
    <w:p w14:paraId="10F0745E" w14:textId="2BBA2DA8" w:rsidR="00DA30F8" w:rsidRDefault="00CA10D8" w:rsidP="00DA30F8">
      <w:pPr>
        <w:pStyle w:val="ListParagraph"/>
        <w:numPr>
          <w:ilvl w:val="0"/>
          <w:numId w:val="49"/>
        </w:numPr>
      </w:pPr>
      <w:r>
        <w:t>All mirrors/</w:t>
      </w:r>
      <w:proofErr w:type="spellStart"/>
      <w:r>
        <w:t>beamsplitters</w:t>
      </w:r>
      <w:proofErr w:type="spellEnd"/>
      <w:r>
        <w:t xml:space="preserve"> other than the cavity high-reflectors are a single piece of fused silica (rather than a cylindrical mirror bonded to a rectangular prism); this is not only simpler, but provides better access to optical surfaces for cleaning</w:t>
      </w:r>
    </w:p>
    <w:p w14:paraId="71E7CD66" w14:textId="7E988660" w:rsidR="00CA10D8" w:rsidRDefault="00CA10D8" w:rsidP="00DA30F8">
      <w:pPr>
        <w:pStyle w:val="ListParagraph"/>
        <w:numPr>
          <w:ilvl w:val="0"/>
          <w:numId w:val="49"/>
        </w:numPr>
      </w:pPr>
      <w:r>
        <w:t xml:space="preserve">Cavity high-reflectors bonded to PZTs on their back </w:t>
      </w:r>
      <w:r w:rsidR="008D3168">
        <w:t>surfaces</w:t>
      </w:r>
      <w:r>
        <w:t>, providing better access for mirror surface cleaning</w:t>
      </w:r>
    </w:p>
    <w:p w14:paraId="20764AD1" w14:textId="47DFEB78" w:rsidR="00CA10D8" w:rsidRDefault="00CA10D8" w:rsidP="00DA30F8">
      <w:pPr>
        <w:pStyle w:val="ListParagraph"/>
        <w:numPr>
          <w:ilvl w:val="0"/>
          <w:numId w:val="49"/>
        </w:numPr>
      </w:pPr>
      <w:r>
        <w:t>Thermal actuator eliminated; PZT type changed to type with much longer stroke</w:t>
      </w:r>
      <w:r w:rsidR="00575BBF">
        <w:t xml:space="preserve"> (the thermal actuator had an annoyingly slow response, </w:t>
      </w:r>
      <w:r w:rsidR="00234D02">
        <w:t>restricted the clear aperture, and seemed to change the ROC of the mirror with heating)</w:t>
      </w:r>
    </w:p>
    <w:p w14:paraId="0EA43AB1" w14:textId="29AD09BF" w:rsidR="00CA10D8" w:rsidRDefault="00CA10D8" w:rsidP="00DA30F8">
      <w:pPr>
        <w:pStyle w:val="ListParagraph"/>
        <w:numPr>
          <w:ilvl w:val="0"/>
          <w:numId w:val="49"/>
        </w:numPr>
      </w:pPr>
      <w:r>
        <w:t>Breadboard made of fused silica, rather than ULE (ULE not required, and is more expensive)</w:t>
      </w:r>
    </w:p>
    <w:p w14:paraId="4E5EE611" w14:textId="5355AE2A" w:rsidR="00CA10D8" w:rsidRDefault="00CA10D8" w:rsidP="00DA30F8">
      <w:pPr>
        <w:pStyle w:val="ListParagraph"/>
        <w:numPr>
          <w:ilvl w:val="0"/>
          <w:numId w:val="49"/>
        </w:numPr>
      </w:pPr>
      <w:r>
        <w:lastRenderedPageBreak/>
        <w:t>Suspension interface</w:t>
      </w:r>
      <w:r w:rsidR="008D3168">
        <w:t xml:space="preserve"> redesigned to be</w:t>
      </w:r>
      <w:r>
        <w:t xml:space="preserve"> at the top side of the breadboard, for easier hanging and removal</w:t>
      </w:r>
      <w:r w:rsidR="00A75578">
        <w:t>; this does increase the position of the wire release point from the CG, raising some of the suspension mode frequencies (most notably the higher frequency mode involving pitch of both stages), but this is not significant to the performance</w:t>
      </w:r>
    </w:p>
    <w:p w14:paraId="6E5BA99E" w14:textId="4824B1F6" w:rsidR="00CA10D8" w:rsidRDefault="00CA10D8" w:rsidP="00DA30F8">
      <w:pPr>
        <w:pStyle w:val="ListParagraph"/>
        <w:numPr>
          <w:ilvl w:val="0"/>
          <w:numId w:val="49"/>
        </w:numPr>
      </w:pPr>
      <w:r>
        <w:t>DCPD preamps are moved off the breadboard; cable lengths are not much longer than before, and this makes mounting (&amp; servicing) the preamps easier</w:t>
      </w:r>
    </w:p>
    <w:p w14:paraId="74593FBE" w14:textId="1EEF6478" w:rsidR="00234D02" w:rsidRDefault="00234D02" w:rsidP="00DA30F8">
      <w:pPr>
        <w:pStyle w:val="ListParagraph"/>
        <w:numPr>
          <w:ilvl w:val="0"/>
          <w:numId w:val="49"/>
        </w:numPr>
      </w:pPr>
      <w:r>
        <w:t>More flexible cabling between the OMC and the suspension structure</w:t>
      </w:r>
    </w:p>
    <w:p w14:paraId="7D686424" w14:textId="069DFAAD" w:rsidR="008D3168" w:rsidRPr="00DA30F8" w:rsidRDefault="008D3168" w:rsidP="00DA30F8">
      <w:pPr>
        <w:pStyle w:val="ListParagraph"/>
        <w:numPr>
          <w:ilvl w:val="0"/>
          <w:numId w:val="49"/>
        </w:numPr>
      </w:pPr>
      <w:r>
        <w:t>Suspension earth-quake stops redesigned for improved usability, and reduced interference with the brea</w:t>
      </w:r>
      <w:r w:rsidR="00A75578">
        <w:t>d</w:t>
      </w:r>
      <w:r>
        <w:t>board</w:t>
      </w:r>
    </w:p>
    <w:p w14:paraId="12BDE506" w14:textId="7639EB2F" w:rsidR="00DA30F8" w:rsidRPr="00DA30F8" w:rsidRDefault="00DA30F8" w:rsidP="00DA30F8">
      <w:pPr>
        <w:pStyle w:val="Heading1"/>
        <w:numPr>
          <w:ilvl w:val="0"/>
          <w:numId w:val="0"/>
        </w:numPr>
      </w:pPr>
    </w:p>
    <w:sectPr w:rsidR="00DA30F8" w:rsidRPr="00DA30F8" w:rsidSect="00575FAA">
      <w:headerReference w:type="default" r:id="rId25"/>
      <w:footerReference w:type="even" r:id="rId26"/>
      <w:footerReference w:type="default" r:id="rId27"/>
      <w:headerReference w:type="first" r:id="rId28"/>
      <w:pgSz w:w="12240" w:h="15840" w:code="1"/>
      <w:pgMar w:top="1440" w:right="1325" w:bottom="1440" w:left="1325"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8CFDE9" w14:textId="77777777" w:rsidR="00575BBF" w:rsidRDefault="00575BBF">
      <w:r>
        <w:separator/>
      </w:r>
    </w:p>
  </w:endnote>
  <w:endnote w:type="continuationSeparator" w:id="0">
    <w:p w14:paraId="1A8C6812" w14:textId="77777777" w:rsidR="00575BBF" w:rsidRDefault="00575B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 w:name="Courier">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B15FE" w14:textId="77777777" w:rsidR="00575BBF" w:rsidRDefault="00575BBF">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E7892B" w14:textId="77777777" w:rsidR="00575BBF" w:rsidRDefault="00575BB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D16E7D" w14:textId="77777777" w:rsidR="00575BBF" w:rsidRDefault="00575BBF">
    <w:pPr>
      <w:pStyle w:val="Footer"/>
      <w:framePr w:wrap="auto"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3C34EC">
      <w:rPr>
        <w:rStyle w:val="PageNumber"/>
        <w:noProof/>
      </w:rPr>
      <w:t>15</w:t>
    </w:r>
    <w:r>
      <w:rPr>
        <w:rStyle w:val="PageNumber"/>
      </w:rPr>
      <w:fldChar w:fldCharType="end"/>
    </w:r>
  </w:p>
  <w:p w14:paraId="708875E4" w14:textId="77777777" w:rsidR="00575BBF" w:rsidRDefault="00575BB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2B4CB3" w14:textId="77777777" w:rsidR="00575BBF" w:rsidRDefault="00575BBF">
      <w:r>
        <w:separator/>
      </w:r>
    </w:p>
  </w:footnote>
  <w:footnote w:type="continuationSeparator" w:id="0">
    <w:p w14:paraId="113DF7BF" w14:textId="77777777" w:rsidR="00575BBF" w:rsidRDefault="00575BBF">
      <w:r>
        <w:continuationSeparator/>
      </w:r>
    </w:p>
  </w:footnote>
  <w:footnote w:id="1">
    <w:p w14:paraId="50D46B87" w14:textId="29350526" w:rsidR="00575BBF" w:rsidRDefault="00575BBF">
      <w:pPr>
        <w:pStyle w:val="FootnoteText"/>
      </w:pPr>
      <w:r>
        <w:rPr>
          <w:rStyle w:val="FootnoteReference"/>
        </w:rPr>
        <w:footnoteRef/>
      </w:r>
      <w:r>
        <w:t xml:space="preserve"> </w:t>
      </w:r>
      <w:proofErr w:type="spellStart"/>
      <w:r>
        <w:t>Frolov</w:t>
      </w:r>
      <w:proofErr w:type="spellEnd"/>
      <w:r>
        <w:t xml:space="preserve"> measured the retro-reflection from the OMC in </w:t>
      </w:r>
      <w:proofErr w:type="spellStart"/>
      <w:r>
        <w:t>eLIGO</w:t>
      </w:r>
      <w:proofErr w:type="spellEnd"/>
      <w:r>
        <w:t xml:space="preserve"> in-situ. Assuming </w:t>
      </w:r>
      <w:proofErr w:type="gramStart"/>
      <w:r>
        <w:t>a</w:t>
      </w:r>
      <w:proofErr w:type="gramEnd"/>
      <w:r>
        <w:t xml:space="preserve"> isolation factor of 10 dB for the AS port Faraday isolator, his measurement corresponds to an OMC reflectivity of </w:t>
      </w:r>
      <m:oMath>
        <m:r>
          <w:rPr>
            <w:rFonts w:ascii="Cambria Math" w:hAnsi="Cambria Math"/>
          </w:rPr>
          <m:t>3.6×</m:t>
        </m:r>
        <m:sSup>
          <m:sSupPr>
            <m:ctrlPr>
              <w:rPr>
                <w:rFonts w:ascii="Cambria Math" w:hAnsi="Cambria Math"/>
                <w:i/>
              </w:rPr>
            </m:ctrlPr>
          </m:sSupPr>
          <m:e>
            <m:r>
              <w:rPr>
                <w:rFonts w:ascii="Cambria Math" w:hAnsi="Cambria Math"/>
              </w:rPr>
              <m:t>10</m:t>
            </m:r>
          </m:e>
          <m:sup>
            <m:r>
              <w:rPr>
                <w:rFonts w:ascii="Cambria Math" w:hAnsi="Cambria Math"/>
              </w:rPr>
              <m:t>-8</m:t>
            </m:r>
          </m:sup>
        </m:sSup>
      </m:oMath>
      <w:r>
        <w:t xml:space="preserve">; see LLO </w:t>
      </w:r>
      <w:proofErr w:type="spellStart"/>
      <w:r>
        <w:t>ilog</w:t>
      </w:r>
      <w:proofErr w:type="spellEnd"/>
      <w:r>
        <w:t>, Jan 28, 2009 and errata.</w:t>
      </w:r>
    </w:p>
  </w:footnote>
  <w:footnote w:id="2">
    <w:p w14:paraId="5C558FAB" w14:textId="286789A3" w:rsidR="00575BBF" w:rsidRDefault="00575BBF">
      <w:pPr>
        <w:pStyle w:val="FootnoteText"/>
      </w:pPr>
      <w:r>
        <w:rPr>
          <w:rStyle w:val="FootnoteReference"/>
        </w:rPr>
        <w:footnoteRef/>
      </w:r>
      <w:r>
        <w:t xml:space="preserve"> Documented in the </w:t>
      </w:r>
      <w:proofErr w:type="spellStart"/>
      <w:r>
        <w:t>aLIGO</w:t>
      </w:r>
      <w:proofErr w:type="spellEnd"/>
      <w:r>
        <w:t xml:space="preserve"> wiki: </w:t>
      </w:r>
      <w:hyperlink r:id="rId1" w:history="1">
        <w:r w:rsidRPr="00F20EEE">
          <w:rPr>
            <w:rStyle w:val="Hyperlink"/>
          </w:rPr>
          <w:t>https://awiki.ligo-wa.caltech.edu/aLIGO/PZT_testing</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4BFC2" w14:textId="30FC0F93" w:rsidR="00575BBF" w:rsidRDefault="00575BBF">
    <w:pPr>
      <w:pStyle w:val="Header"/>
      <w:tabs>
        <w:tab w:val="clear" w:pos="4320"/>
        <w:tab w:val="center" w:pos="4680"/>
      </w:tabs>
      <w:jc w:val="left"/>
      <w:rPr>
        <w:sz w:val="20"/>
      </w:rPr>
    </w:pPr>
    <w:r>
      <w:rPr>
        <w:b/>
        <w:bCs/>
        <w:i/>
        <w:iCs/>
        <w:color w:val="0000FF"/>
        <w:sz w:val="20"/>
      </w:rPr>
      <w:t>LIGO</w:t>
    </w:r>
    <w:r>
      <w:rPr>
        <w:sz w:val="20"/>
      </w:rPr>
      <w:tab/>
      <w:t>LIGO-T1</w:t>
    </w:r>
    <w:r w:rsidR="005678E5">
      <w:rPr>
        <w:sz w:val="20"/>
      </w:rPr>
      <w:t>000276-v5</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43F5C" w14:textId="77777777" w:rsidR="00575BBF" w:rsidRDefault="00575BBF">
    <w:pPr>
      <w:pStyle w:val="Header"/>
      <w:jc w:val="right"/>
    </w:pPr>
    <w:r>
      <w:rPr>
        <w:b/>
        <w:caps/>
      </w:rPr>
      <w:t>Laser Interferometer Gravitational Wave Observatory</w:t>
    </w:r>
    <w:r>
      <w:rPr>
        <w:noProof/>
        <w:sz w:val="20"/>
      </w:rPr>
      <w:t xml:space="preserve"> </w:t>
    </w:r>
    <w:r>
      <w:rPr>
        <w:noProof/>
      </w:rPr>
      <w:drawing>
        <wp:anchor distT="0" distB="0" distL="114300" distR="114300" simplePos="0" relativeHeight="251657728" behindDoc="0" locked="0" layoutInCell="1" allowOverlap="1" wp14:anchorId="20FBB320" wp14:editId="73138CD7">
          <wp:simplePos x="0" y="0"/>
          <wp:positionH relativeFrom="column">
            <wp:posOffset>-22225</wp:posOffset>
          </wp:positionH>
          <wp:positionV relativeFrom="paragraph">
            <wp:posOffset>-9525</wp:posOffset>
          </wp:positionV>
          <wp:extent cx="991235" cy="723900"/>
          <wp:effectExtent l="2540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991235" cy="723900"/>
                  </a:xfrm>
                  <a:prstGeom prst="rect">
                    <a:avLst/>
                  </a:prstGeom>
                  <a:noFill/>
                  <a:ln w="12700">
                    <a:miter lim="800000"/>
                    <a:headEnd type="none" w="sm" len="sm"/>
                    <a:tailEnd type="none" w="sm" len="sm"/>
                  </a:ln>
                  <a:effectLst/>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E1EAAC4"/>
    <w:lvl w:ilvl="0">
      <w:start w:val="1"/>
      <w:numFmt w:val="decimal"/>
      <w:pStyle w:val="ListNumber2"/>
      <w:lvlText w:val="%1."/>
      <w:lvlJc w:val="left"/>
      <w:pPr>
        <w:tabs>
          <w:tab w:val="num" w:pos="720"/>
        </w:tabs>
        <w:ind w:left="720" w:hanging="360"/>
      </w:pPr>
      <w:rPr>
        <w:rFonts w:cs="Times New Roman"/>
      </w:r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rPr>
        <w:rFonts w:cs="Times New Roman"/>
      </w:r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35A4696"/>
    <w:multiLevelType w:val="multilevel"/>
    <w:tmpl w:val="30164A74"/>
    <w:lvl w:ilvl="0">
      <w:start w:val="1"/>
      <w:numFmt w:val="decimal"/>
      <w:lvlText w:val="%1"/>
      <w:lvlJc w:val="left"/>
      <w:pPr>
        <w:tabs>
          <w:tab w:val="num" w:pos="720"/>
        </w:tabs>
        <w:ind w:left="720" w:hanging="72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720"/>
        </w:tabs>
        <w:ind w:left="720" w:hanging="72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080"/>
        </w:tabs>
        <w:ind w:left="1080" w:hanging="108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4">
    <w:nsid w:val="05607562"/>
    <w:multiLevelType w:val="hybridMultilevel"/>
    <w:tmpl w:val="19F64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2B7D4A"/>
    <w:multiLevelType w:val="hybridMultilevel"/>
    <w:tmpl w:val="8CD8A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497F2E"/>
    <w:multiLevelType w:val="multilevel"/>
    <w:tmpl w:val="C2921782"/>
    <w:lvl w:ilvl="0">
      <w:start w:val="3"/>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7">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188F5855"/>
    <w:multiLevelType w:val="multilevel"/>
    <w:tmpl w:val="B51C745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
    <w:nsid w:val="18F36476"/>
    <w:multiLevelType w:val="hybridMultilevel"/>
    <w:tmpl w:val="A0B02520"/>
    <w:lvl w:ilvl="0" w:tplc="9858D4DA">
      <w:start w:val="1"/>
      <w:numFmt w:val="bullet"/>
      <w:lvlText w:val="•"/>
      <w:lvlJc w:val="left"/>
      <w:pPr>
        <w:tabs>
          <w:tab w:val="num" w:pos="720"/>
        </w:tabs>
        <w:ind w:left="720" w:hanging="360"/>
      </w:pPr>
      <w:rPr>
        <w:rFonts w:ascii="Arial" w:hAnsi="Arial" w:hint="default"/>
      </w:rPr>
    </w:lvl>
    <w:lvl w:ilvl="1" w:tplc="68B6726E" w:tentative="1">
      <w:start w:val="1"/>
      <w:numFmt w:val="bullet"/>
      <w:lvlText w:val="•"/>
      <w:lvlJc w:val="left"/>
      <w:pPr>
        <w:tabs>
          <w:tab w:val="num" w:pos="1440"/>
        </w:tabs>
        <w:ind w:left="1440" w:hanging="360"/>
      </w:pPr>
      <w:rPr>
        <w:rFonts w:ascii="Arial" w:hAnsi="Arial" w:hint="default"/>
      </w:rPr>
    </w:lvl>
    <w:lvl w:ilvl="2" w:tplc="8416E060" w:tentative="1">
      <w:start w:val="1"/>
      <w:numFmt w:val="bullet"/>
      <w:lvlText w:val="•"/>
      <w:lvlJc w:val="left"/>
      <w:pPr>
        <w:tabs>
          <w:tab w:val="num" w:pos="2160"/>
        </w:tabs>
        <w:ind w:left="2160" w:hanging="360"/>
      </w:pPr>
      <w:rPr>
        <w:rFonts w:ascii="Arial" w:hAnsi="Arial" w:hint="default"/>
      </w:rPr>
    </w:lvl>
    <w:lvl w:ilvl="3" w:tplc="4CEE9BF0" w:tentative="1">
      <w:start w:val="1"/>
      <w:numFmt w:val="bullet"/>
      <w:lvlText w:val="•"/>
      <w:lvlJc w:val="left"/>
      <w:pPr>
        <w:tabs>
          <w:tab w:val="num" w:pos="2880"/>
        </w:tabs>
        <w:ind w:left="2880" w:hanging="360"/>
      </w:pPr>
      <w:rPr>
        <w:rFonts w:ascii="Arial" w:hAnsi="Arial" w:hint="default"/>
      </w:rPr>
    </w:lvl>
    <w:lvl w:ilvl="4" w:tplc="AB36A330" w:tentative="1">
      <w:start w:val="1"/>
      <w:numFmt w:val="bullet"/>
      <w:lvlText w:val="•"/>
      <w:lvlJc w:val="left"/>
      <w:pPr>
        <w:tabs>
          <w:tab w:val="num" w:pos="3600"/>
        </w:tabs>
        <w:ind w:left="3600" w:hanging="360"/>
      </w:pPr>
      <w:rPr>
        <w:rFonts w:ascii="Arial" w:hAnsi="Arial" w:hint="default"/>
      </w:rPr>
    </w:lvl>
    <w:lvl w:ilvl="5" w:tplc="0C98A5DC" w:tentative="1">
      <w:start w:val="1"/>
      <w:numFmt w:val="bullet"/>
      <w:lvlText w:val="•"/>
      <w:lvlJc w:val="left"/>
      <w:pPr>
        <w:tabs>
          <w:tab w:val="num" w:pos="4320"/>
        </w:tabs>
        <w:ind w:left="4320" w:hanging="360"/>
      </w:pPr>
      <w:rPr>
        <w:rFonts w:ascii="Arial" w:hAnsi="Arial" w:hint="default"/>
      </w:rPr>
    </w:lvl>
    <w:lvl w:ilvl="6" w:tplc="659A30AC" w:tentative="1">
      <w:start w:val="1"/>
      <w:numFmt w:val="bullet"/>
      <w:lvlText w:val="•"/>
      <w:lvlJc w:val="left"/>
      <w:pPr>
        <w:tabs>
          <w:tab w:val="num" w:pos="5040"/>
        </w:tabs>
        <w:ind w:left="5040" w:hanging="360"/>
      </w:pPr>
      <w:rPr>
        <w:rFonts w:ascii="Arial" w:hAnsi="Arial" w:hint="default"/>
      </w:rPr>
    </w:lvl>
    <w:lvl w:ilvl="7" w:tplc="9DAA1AD2" w:tentative="1">
      <w:start w:val="1"/>
      <w:numFmt w:val="bullet"/>
      <w:lvlText w:val="•"/>
      <w:lvlJc w:val="left"/>
      <w:pPr>
        <w:tabs>
          <w:tab w:val="num" w:pos="5760"/>
        </w:tabs>
        <w:ind w:left="5760" w:hanging="360"/>
      </w:pPr>
      <w:rPr>
        <w:rFonts w:ascii="Arial" w:hAnsi="Arial" w:hint="default"/>
      </w:rPr>
    </w:lvl>
    <w:lvl w:ilvl="8" w:tplc="39D4D92E" w:tentative="1">
      <w:start w:val="1"/>
      <w:numFmt w:val="bullet"/>
      <w:lvlText w:val="•"/>
      <w:lvlJc w:val="left"/>
      <w:pPr>
        <w:tabs>
          <w:tab w:val="num" w:pos="6480"/>
        </w:tabs>
        <w:ind w:left="6480" w:hanging="360"/>
      </w:pPr>
      <w:rPr>
        <w:rFonts w:ascii="Arial" w:hAnsi="Arial" w:hint="default"/>
      </w:rPr>
    </w:lvl>
  </w:abstractNum>
  <w:abstractNum w:abstractNumId="10">
    <w:nsid w:val="196440F0"/>
    <w:multiLevelType w:val="multilevel"/>
    <w:tmpl w:val="AD7C0FF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nsid w:val="1B9F6452"/>
    <w:multiLevelType w:val="multilevel"/>
    <w:tmpl w:val="429231C4"/>
    <w:lvl w:ilvl="0">
      <w:start w:val="2"/>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720"/>
        </w:tabs>
        <w:ind w:left="720" w:hanging="72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080"/>
        </w:tabs>
        <w:ind w:left="1080" w:hanging="108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12">
    <w:nsid w:val="21AD344B"/>
    <w:multiLevelType w:val="hybridMultilevel"/>
    <w:tmpl w:val="BDC4A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3656F1"/>
    <w:multiLevelType w:val="hybridMultilevel"/>
    <w:tmpl w:val="6A827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A15C6E"/>
    <w:multiLevelType w:val="multilevel"/>
    <w:tmpl w:val="54F251E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5">
    <w:nsid w:val="31E43531"/>
    <w:multiLevelType w:val="hybridMultilevel"/>
    <w:tmpl w:val="B51C745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nsid w:val="32F34E03"/>
    <w:multiLevelType w:val="hybridMultilevel"/>
    <w:tmpl w:val="3EF6B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B66176"/>
    <w:multiLevelType w:val="hybridMultilevel"/>
    <w:tmpl w:val="68B6A816"/>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8">
    <w:nsid w:val="3BB07C7E"/>
    <w:multiLevelType w:val="hybridMultilevel"/>
    <w:tmpl w:val="8C1ED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C13F83"/>
    <w:multiLevelType w:val="hybridMultilevel"/>
    <w:tmpl w:val="AD7C0FF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4A456FB4"/>
    <w:multiLevelType w:val="hybridMultilevel"/>
    <w:tmpl w:val="3A84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8973C3"/>
    <w:multiLevelType w:val="hybridMultilevel"/>
    <w:tmpl w:val="BA8AC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E15142"/>
    <w:multiLevelType w:val="hybridMultilevel"/>
    <w:tmpl w:val="4B0A5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605723ED"/>
    <w:multiLevelType w:val="singleLevel"/>
    <w:tmpl w:val="F78ECE74"/>
    <w:lvl w:ilvl="0">
      <w:start w:val="2"/>
      <w:numFmt w:val="decimal"/>
      <w:lvlText w:val="%1"/>
      <w:lvlJc w:val="left"/>
      <w:pPr>
        <w:tabs>
          <w:tab w:val="num" w:pos="720"/>
        </w:tabs>
        <w:ind w:left="720" w:hanging="720"/>
      </w:pPr>
      <w:rPr>
        <w:rFonts w:cs="Times New Roman" w:hint="default"/>
        <w:i w:val="0"/>
        <w:sz w:val="28"/>
      </w:rPr>
    </w:lvl>
  </w:abstractNum>
  <w:abstractNum w:abstractNumId="27">
    <w:nsid w:val="60B37888"/>
    <w:multiLevelType w:val="multilevel"/>
    <w:tmpl w:val="4FE0C2DA"/>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8">
    <w:nsid w:val="63FC0392"/>
    <w:multiLevelType w:val="multilevel"/>
    <w:tmpl w:val="EFFE61D4"/>
    <w:lvl w:ilvl="0">
      <w:start w:val="2"/>
      <w:numFmt w:val="decimal"/>
      <w:lvlText w:val="%1"/>
      <w:lvlJc w:val="left"/>
      <w:pPr>
        <w:tabs>
          <w:tab w:val="num" w:pos="432"/>
        </w:tabs>
        <w:ind w:left="432" w:hanging="432"/>
      </w:pPr>
      <w:rPr>
        <w:rFonts w:cs="Times New Roman"/>
      </w:rPr>
    </w:lvl>
    <w:lvl w:ilvl="1">
      <w:start w:val="1"/>
      <w:numFmt w:val="decimal"/>
      <w:lvlText w:val="1.%2 "/>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9">
    <w:nsid w:val="65617CBE"/>
    <w:multiLevelType w:val="multilevel"/>
    <w:tmpl w:val="9978F8D0"/>
    <w:lvl w:ilvl="0">
      <w:start w:val="3"/>
      <w:numFmt w:val="decimal"/>
      <w:lvlText w:val="%1"/>
      <w:lvlJc w:val="left"/>
      <w:pPr>
        <w:tabs>
          <w:tab w:val="num" w:pos="720"/>
        </w:tabs>
        <w:ind w:left="720" w:hanging="72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720"/>
        </w:tabs>
        <w:ind w:left="720" w:hanging="72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080"/>
        </w:tabs>
        <w:ind w:left="1080" w:hanging="108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30">
    <w:nsid w:val="656E739B"/>
    <w:multiLevelType w:val="hybridMultilevel"/>
    <w:tmpl w:val="878EC0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66186946"/>
    <w:multiLevelType w:val="hybridMultilevel"/>
    <w:tmpl w:val="D64A834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2">
    <w:nsid w:val="687C237B"/>
    <w:multiLevelType w:val="hybridMultilevel"/>
    <w:tmpl w:val="D18C6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7A20C3"/>
    <w:multiLevelType w:val="hybridMultilevel"/>
    <w:tmpl w:val="43F6A4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B2D7302"/>
    <w:multiLevelType w:val="hybridMultilevel"/>
    <w:tmpl w:val="D0E21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3A52E2"/>
    <w:multiLevelType w:val="singleLevel"/>
    <w:tmpl w:val="FE127BBC"/>
    <w:lvl w:ilvl="0">
      <w:start w:val="1"/>
      <w:numFmt w:val="decimal"/>
      <w:lvlText w:val="%1"/>
      <w:lvlJc w:val="left"/>
      <w:pPr>
        <w:tabs>
          <w:tab w:val="num" w:pos="720"/>
        </w:tabs>
        <w:ind w:left="720" w:hanging="720"/>
      </w:pPr>
      <w:rPr>
        <w:rFonts w:cs="Times New Roman" w:hint="default"/>
      </w:rPr>
    </w:lvl>
  </w:abstractNum>
  <w:abstractNum w:abstractNumId="36">
    <w:nsid w:val="7A433082"/>
    <w:multiLevelType w:val="multilevel"/>
    <w:tmpl w:val="A51A6A48"/>
    <w:lvl w:ilvl="0">
      <w:start w:val="1"/>
      <w:numFmt w:val="decimal"/>
      <w:pStyle w:val="Heading1"/>
      <w:lvlText w:val="%1"/>
      <w:lvlJc w:val="left"/>
      <w:pPr>
        <w:tabs>
          <w:tab w:val="num" w:pos="1152"/>
        </w:tabs>
        <w:ind w:left="115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37">
    <w:nsid w:val="7C4B2131"/>
    <w:multiLevelType w:val="hybridMultilevel"/>
    <w:tmpl w:val="1B5846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7CF10FF4"/>
    <w:multiLevelType w:val="multilevel"/>
    <w:tmpl w:val="A51A6A48"/>
    <w:lvl w:ilvl="0">
      <w:start w:val="1"/>
      <w:numFmt w:val="decimal"/>
      <w:lvlText w:val="%1"/>
      <w:lvlJc w:val="left"/>
      <w:pPr>
        <w:tabs>
          <w:tab w:val="num" w:pos="1152"/>
        </w:tabs>
        <w:ind w:left="115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abstractNumId w:val="1"/>
  </w:num>
  <w:num w:numId="2">
    <w:abstractNumId w:val="0"/>
  </w:num>
  <w:num w:numId="3">
    <w:abstractNumId w:val="2"/>
  </w:num>
  <w:num w:numId="4">
    <w:abstractNumId w:val="1"/>
  </w:num>
  <w:num w:numId="5">
    <w:abstractNumId w:val="0"/>
  </w:num>
  <w:num w:numId="6">
    <w:abstractNumId w:val="26"/>
  </w:num>
  <w:num w:numId="7">
    <w:abstractNumId w:val="3"/>
  </w:num>
  <w:num w:numId="8">
    <w:abstractNumId w:val="2"/>
  </w:num>
  <w:num w:numId="9">
    <w:abstractNumId w:val="6"/>
  </w:num>
  <w:num w:numId="10">
    <w:abstractNumId w:val="11"/>
  </w:num>
  <w:num w:numId="11">
    <w:abstractNumId w:val="24"/>
  </w:num>
  <w:num w:numId="12">
    <w:abstractNumId w:val="25"/>
  </w:num>
  <w:num w:numId="13">
    <w:abstractNumId w:val="35"/>
  </w:num>
  <w:num w:numId="14">
    <w:abstractNumId w:val="3"/>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27"/>
  </w:num>
  <w:num w:numId="18">
    <w:abstractNumId w:val="29"/>
  </w:num>
  <w:num w:numId="19">
    <w:abstractNumId w:val="20"/>
  </w:num>
  <w:num w:numId="20">
    <w:abstractNumId w:val="14"/>
  </w:num>
  <w:num w:numId="21">
    <w:abstractNumId w:val="14"/>
  </w:num>
  <w:num w:numId="22">
    <w:abstractNumId w:val="14"/>
  </w:num>
  <w:num w:numId="23">
    <w:abstractNumId w:val="14"/>
  </w:num>
  <w:num w:numId="24">
    <w:abstractNumId w:val="14"/>
    <w:lvlOverride w:ilvl="0">
      <w:lvl w:ilvl="0">
        <w:start w:val="2"/>
        <w:numFmt w:val="decimal"/>
        <w:lvlText w:val="%1"/>
        <w:lvlJc w:val="left"/>
        <w:pPr>
          <w:tabs>
            <w:tab w:val="num" w:pos="432"/>
          </w:tabs>
          <w:ind w:left="432" w:hanging="432"/>
        </w:pPr>
        <w:rPr>
          <w:rFonts w:cs="Times New Roman"/>
        </w:rPr>
      </w:lvl>
    </w:lvlOverride>
    <w:lvlOverride w:ilvl="1">
      <w:lvl w:ilvl="1">
        <w:start w:val="1"/>
        <w:numFmt w:val="decimal"/>
        <w:lvlText w:val="1.%2 "/>
        <w:lvlJc w:val="left"/>
        <w:pPr>
          <w:tabs>
            <w:tab w:val="num" w:pos="576"/>
          </w:tabs>
          <w:ind w:left="576" w:hanging="576"/>
        </w:pPr>
        <w:rPr>
          <w:rFonts w:cs="Times New Roman"/>
        </w:rPr>
      </w:lvl>
    </w:lvlOverride>
    <w:lvlOverride w:ilvl="2">
      <w:lvl w:ilvl="2">
        <w:start w:val="1"/>
        <w:numFmt w:val="decimal"/>
        <w:lvlText w:val="%1.%2.%3"/>
        <w:lvlJc w:val="left"/>
        <w:pPr>
          <w:tabs>
            <w:tab w:val="num" w:pos="720"/>
          </w:tabs>
          <w:ind w:left="720" w:hanging="720"/>
        </w:pPr>
        <w:rPr>
          <w:rFonts w:cs="Times New Roman"/>
        </w:rPr>
      </w:lvl>
    </w:lvlOverride>
    <w:lvlOverride w:ilvl="3">
      <w:lvl w:ilvl="3">
        <w:start w:val="1"/>
        <w:numFmt w:val="decimal"/>
        <w:lvlText w:val="%1.%2.%3.%4"/>
        <w:lvlJc w:val="left"/>
        <w:pPr>
          <w:tabs>
            <w:tab w:val="num" w:pos="864"/>
          </w:tabs>
          <w:ind w:left="864" w:hanging="864"/>
        </w:pPr>
        <w:rPr>
          <w:rFonts w:cs="Times New Roman"/>
        </w:rPr>
      </w:lvl>
    </w:lvlOverride>
    <w:lvlOverride w:ilvl="4">
      <w:lvl w:ilvl="4">
        <w:start w:val="1"/>
        <w:numFmt w:val="decimal"/>
        <w:lvlText w:val="%1.%2.%3.%4.%5"/>
        <w:lvlJc w:val="left"/>
        <w:pPr>
          <w:tabs>
            <w:tab w:val="num" w:pos="1008"/>
          </w:tabs>
          <w:ind w:left="1008" w:hanging="1008"/>
        </w:pPr>
        <w:rPr>
          <w:rFonts w:cs="Times New Roman"/>
        </w:rPr>
      </w:lvl>
    </w:lvlOverride>
    <w:lvlOverride w:ilvl="5">
      <w:lvl w:ilvl="5">
        <w:start w:val="1"/>
        <w:numFmt w:val="decimal"/>
        <w:lvlText w:val="%1.%2.%3.%4.%5.%6"/>
        <w:lvlJc w:val="left"/>
        <w:pPr>
          <w:tabs>
            <w:tab w:val="num" w:pos="1152"/>
          </w:tabs>
          <w:ind w:left="1152" w:hanging="1152"/>
        </w:pPr>
        <w:rPr>
          <w:rFonts w:cs="Times New Roman"/>
        </w:rPr>
      </w:lvl>
    </w:lvlOverride>
    <w:lvlOverride w:ilvl="6">
      <w:lvl w:ilvl="6">
        <w:start w:val="1"/>
        <w:numFmt w:val="decimal"/>
        <w:lvlText w:val="%1.%2.%3.%4.%5.%6.%7"/>
        <w:lvlJc w:val="left"/>
        <w:pPr>
          <w:tabs>
            <w:tab w:val="num" w:pos="1296"/>
          </w:tabs>
          <w:ind w:left="1296" w:hanging="1296"/>
        </w:pPr>
        <w:rPr>
          <w:rFonts w:cs="Times New Roman"/>
        </w:rPr>
      </w:lvl>
    </w:lvlOverride>
    <w:lvlOverride w:ilvl="7">
      <w:lvl w:ilvl="7">
        <w:start w:val="1"/>
        <w:numFmt w:val="decimal"/>
        <w:lvlText w:val="%1.%2.%3.%4.%5.%6.%7.%8"/>
        <w:lvlJc w:val="left"/>
        <w:pPr>
          <w:tabs>
            <w:tab w:val="num" w:pos="1440"/>
          </w:tabs>
          <w:ind w:left="1440" w:hanging="1440"/>
        </w:pPr>
        <w:rPr>
          <w:rFonts w:cs="Times New Roman"/>
        </w:rPr>
      </w:lvl>
    </w:lvlOverride>
    <w:lvlOverride w:ilvl="8">
      <w:lvl w:ilvl="8">
        <w:start w:val="1"/>
        <w:numFmt w:val="decimal"/>
        <w:lvlText w:val="%1.%2.%3.%4.%5.%6.%7.%8.%9"/>
        <w:lvlJc w:val="left"/>
        <w:pPr>
          <w:tabs>
            <w:tab w:val="num" w:pos="1584"/>
          </w:tabs>
          <w:ind w:left="1584" w:hanging="1584"/>
        </w:pPr>
        <w:rPr>
          <w:rFonts w:cs="Times New Roman"/>
        </w:rPr>
      </w:lvl>
    </w:lvlOverride>
  </w:num>
  <w:num w:numId="25">
    <w:abstractNumId w:val="28"/>
  </w:num>
  <w:num w:numId="26">
    <w:abstractNumId w:val="28"/>
    <w:lvlOverride w:ilvl="0">
      <w:lvl w:ilvl="0">
        <w:start w:val="1"/>
        <w:numFmt w:val="decimal"/>
        <w:lvlText w:val="%1"/>
        <w:lvlJc w:val="left"/>
        <w:pPr>
          <w:tabs>
            <w:tab w:val="num" w:pos="432"/>
          </w:tabs>
          <w:ind w:left="432" w:hanging="432"/>
        </w:pPr>
        <w:rPr>
          <w:rFonts w:cs="Times New Roman" w:hint="default"/>
        </w:rPr>
      </w:lvl>
    </w:lvlOverride>
    <w:lvlOverride w:ilvl="1">
      <w:lvl w:ilvl="1">
        <w:start w:val="1"/>
        <w:numFmt w:val="decimal"/>
        <w:lvlText w:val="%1.%2"/>
        <w:lvlJc w:val="left"/>
        <w:pPr>
          <w:tabs>
            <w:tab w:val="num" w:pos="576"/>
          </w:tabs>
          <w:ind w:left="576" w:hanging="576"/>
        </w:pPr>
        <w:rPr>
          <w:rFonts w:cs="Times New Roman" w:hint="default"/>
        </w:rPr>
      </w:lvl>
    </w:lvlOverride>
    <w:lvlOverride w:ilvl="2">
      <w:lvl w:ilvl="2">
        <w:start w:val="1"/>
        <w:numFmt w:val="decimal"/>
        <w:lvlText w:val="%1.%2.%3"/>
        <w:lvlJc w:val="left"/>
        <w:pPr>
          <w:tabs>
            <w:tab w:val="num" w:pos="720"/>
          </w:tabs>
          <w:ind w:left="720" w:hanging="720"/>
        </w:pPr>
        <w:rPr>
          <w:rFonts w:cs="Times New Roman" w:hint="default"/>
        </w:rPr>
      </w:lvl>
    </w:lvlOverride>
    <w:lvlOverride w:ilvl="3">
      <w:lvl w:ilvl="3">
        <w:start w:val="1"/>
        <w:numFmt w:val="decimal"/>
        <w:lvlText w:val="%1.%2.%3.%4"/>
        <w:lvlJc w:val="left"/>
        <w:pPr>
          <w:tabs>
            <w:tab w:val="num" w:pos="864"/>
          </w:tabs>
          <w:ind w:left="864" w:hanging="864"/>
        </w:pPr>
        <w:rPr>
          <w:rFonts w:cs="Times New Roman" w:hint="default"/>
        </w:rPr>
      </w:lvl>
    </w:lvlOverride>
    <w:lvlOverride w:ilvl="4">
      <w:lvl w:ilvl="4">
        <w:start w:val="1"/>
        <w:numFmt w:val="decimal"/>
        <w:lvlText w:val="%1.%2.%3.%4.%5"/>
        <w:lvlJc w:val="left"/>
        <w:pPr>
          <w:tabs>
            <w:tab w:val="num" w:pos="1008"/>
          </w:tabs>
          <w:ind w:left="1008" w:hanging="1008"/>
        </w:pPr>
        <w:rPr>
          <w:rFonts w:cs="Times New Roman" w:hint="default"/>
        </w:rPr>
      </w:lvl>
    </w:lvlOverride>
    <w:lvlOverride w:ilvl="5">
      <w:lvl w:ilvl="5">
        <w:start w:val="1"/>
        <w:numFmt w:val="decimal"/>
        <w:lvlText w:val="%1.%2.%3.%4.%5.%6"/>
        <w:lvlJc w:val="left"/>
        <w:pPr>
          <w:tabs>
            <w:tab w:val="num" w:pos="1152"/>
          </w:tabs>
          <w:ind w:left="1152" w:hanging="1152"/>
        </w:pPr>
        <w:rPr>
          <w:rFonts w:cs="Times New Roman" w:hint="default"/>
        </w:rPr>
      </w:lvl>
    </w:lvlOverride>
    <w:lvlOverride w:ilvl="6">
      <w:lvl w:ilvl="6">
        <w:start w:val="1"/>
        <w:numFmt w:val="decimal"/>
        <w:lvlText w:val="%1.%2.%3.%4.%5.%6.%7"/>
        <w:lvlJc w:val="left"/>
        <w:pPr>
          <w:tabs>
            <w:tab w:val="num" w:pos="1296"/>
          </w:tabs>
          <w:ind w:left="1296" w:hanging="1296"/>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584"/>
          </w:tabs>
          <w:ind w:left="1584" w:hanging="1584"/>
        </w:pPr>
        <w:rPr>
          <w:rFonts w:cs="Times New Roman" w:hint="default"/>
        </w:rPr>
      </w:lvl>
    </w:lvlOverride>
  </w:num>
  <w:num w:numId="27">
    <w:abstractNumId w:val="36"/>
  </w:num>
  <w:num w:numId="28">
    <w:abstractNumId w:val="30"/>
  </w:num>
  <w:num w:numId="29">
    <w:abstractNumId w:val="15"/>
  </w:num>
  <w:num w:numId="30">
    <w:abstractNumId w:val="19"/>
  </w:num>
  <w:num w:numId="31">
    <w:abstractNumId w:val="10"/>
  </w:num>
  <w:num w:numId="32">
    <w:abstractNumId w:val="37"/>
  </w:num>
  <w:num w:numId="33">
    <w:abstractNumId w:val="8"/>
  </w:num>
  <w:num w:numId="34">
    <w:abstractNumId w:val="33"/>
  </w:num>
  <w:num w:numId="35">
    <w:abstractNumId w:val="38"/>
  </w:num>
  <w:num w:numId="36">
    <w:abstractNumId w:val="9"/>
  </w:num>
  <w:num w:numId="37">
    <w:abstractNumId w:val="12"/>
  </w:num>
  <w:num w:numId="38">
    <w:abstractNumId w:val="22"/>
  </w:num>
  <w:num w:numId="39">
    <w:abstractNumId w:val="21"/>
  </w:num>
  <w:num w:numId="40">
    <w:abstractNumId w:val="5"/>
  </w:num>
  <w:num w:numId="41">
    <w:abstractNumId w:val="17"/>
  </w:num>
  <w:num w:numId="42">
    <w:abstractNumId w:val="4"/>
  </w:num>
  <w:num w:numId="43">
    <w:abstractNumId w:val="23"/>
  </w:num>
  <w:num w:numId="44">
    <w:abstractNumId w:val="31"/>
  </w:num>
  <w:num w:numId="45">
    <w:abstractNumId w:val="16"/>
  </w:num>
  <w:num w:numId="46">
    <w:abstractNumId w:val="13"/>
  </w:num>
  <w:num w:numId="47">
    <w:abstractNumId w:val="32"/>
  </w:num>
  <w:num w:numId="48">
    <w:abstractNumId w:val="34"/>
  </w:num>
  <w:num w:numId="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8B2"/>
    <w:rsid w:val="000066CA"/>
    <w:rsid w:val="000076CD"/>
    <w:rsid w:val="000145B6"/>
    <w:rsid w:val="00017512"/>
    <w:rsid w:val="00022FB4"/>
    <w:rsid w:val="00035367"/>
    <w:rsid w:val="00044614"/>
    <w:rsid w:val="00046120"/>
    <w:rsid w:val="000506A2"/>
    <w:rsid w:val="000523CA"/>
    <w:rsid w:val="000541D8"/>
    <w:rsid w:val="000612A8"/>
    <w:rsid w:val="00061AF1"/>
    <w:rsid w:val="00061E98"/>
    <w:rsid w:val="00067D5B"/>
    <w:rsid w:val="00072267"/>
    <w:rsid w:val="0007329E"/>
    <w:rsid w:val="000756E6"/>
    <w:rsid w:val="00083002"/>
    <w:rsid w:val="000860C2"/>
    <w:rsid w:val="00086EBF"/>
    <w:rsid w:val="00090B3A"/>
    <w:rsid w:val="00094491"/>
    <w:rsid w:val="00094826"/>
    <w:rsid w:val="00095E31"/>
    <w:rsid w:val="000A596A"/>
    <w:rsid w:val="000A7DA1"/>
    <w:rsid w:val="000B29EA"/>
    <w:rsid w:val="000B7DB2"/>
    <w:rsid w:val="000C2698"/>
    <w:rsid w:val="000C26F2"/>
    <w:rsid w:val="000C481E"/>
    <w:rsid w:val="000C798E"/>
    <w:rsid w:val="000D1FB8"/>
    <w:rsid w:val="000D5898"/>
    <w:rsid w:val="000E36EE"/>
    <w:rsid w:val="000F28AD"/>
    <w:rsid w:val="00101060"/>
    <w:rsid w:val="00111964"/>
    <w:rsid w:val="0011368D"/>
    <w:rsid w:val="00114835"/>
    <w:rsid w:val="00114982"/>
    <w:rsid w:val="001229F1"/>
    <w:rsid w:val="00122D9C"/>
    <w:rsid w:val="00123503"/>
    <w:rsid w:val="001270C1"/>
    <w:rsid w:val="00127336"/>
    <w:rsid w:val="00134253"/>
    <w:rsid w:val="0014150F"/>
    <w:rsid w:val="001462C2"/>
    <w:rsid w:val="001532CC"/>
    <w:rsid w:val="00153BB4"/>
    <w:rsid w:val="001548A6"/>
    <w:rsid w:val="0015705F"/>
    <w:rsid w:val="00170F98"/>
    <w:rsid w:val="00175880"/>
    <w:rsid w:val="001773CA"/>
    <w:rsid w:val="00180738"/>
    <w:rsid w:val="00190C5A"/>
    <w:rsid w:val="00191177"/>
    <w:rsid w:val="001929FE"/>
    <w:rsid w:val="00194EBB"/>
    <w:rsid w:val="001A2A5B"/>
    <w:rsid w:val="001B3F56"/>
    <w:rsid w:val="001B5BDA"/>
    <w:rsid w:val="001C04A4"/>
    <w:rsid w:val="001C11C5"/>
    <w:rsid w:val="001C3AD5"/>
    <w:rsid w:val="001C4370"/>
    <w:rsid w:val="001D0074"/>
    <w:rsid w:val="001D0911"/>
    <w:rsid w:val="001D4BB8"/>
    <w:rsid w:val="001D55E7"/>
    <w:rsid w:val="001D5755"/>
    <w:rsid w:val="001D67EC"/>
    <w:rsid w:val="001E202C"/>
    <w:rsid w:val="001E4A2F"/>
    <w:rsid w:val="001E60A5"/>
    <w:rsid w:val="001E6392"/>
    <w:rsid w:val="001F2636"/>
    <w:rsid w:val="001F2856"/>
    <w:rsid w:val="001F51D6"/>
    <w:rsid w:val="001F6AD4"/>
    <w:rsid w:val="001F7E99"/>
    <w:rsid w:val="0020015F"/>
    <w:rsid w:val="00205D18"/>
    <w:rsid w:val="0020705E"/>
    <w:rsid w:val="002079C3"/>
    <w:rsid w:val="00207CD6"/>
    <w:rsid w:val="00213EBE"/>
    <w:rsid w:val="00214C8C"/>
    <w:rsid w:val="00214E90"/>
    <w:rsid w:val="002215A3"/>
    <w:rsid w:val="00222EF5"/>
    <w:rsid w:val="00223EF4"/>
    <w:rsid w:val="002241A6"/>
    <w:rsid w:val="00233522"/>
    <w:rsid w:val="00234263"/>
    <w:rsid w:val="00234AAC"/>
    <w:rsid w:val="00234D02"/>
    <w:rsid w:val="0024057D"/>
    <w:rsid w:val="002406CF"/>
    <w:rsid w:val="0024305B"/>
    <w:rsid w:val="00243512"/>
    <w:rsid w:val="00245288"/>
    <w:rsid w:val="00246E01"/>
    <w:rsid w:val="00250E05"/>
    <w:rsid w:val="00250F6B"/>
    <w:rsid w:val="00252009"/>
    <w:rsid w:val="002540F9"/>
    <w:rsid w:val="00254D8D"/>
    <w:rsid w:val="00255AD0"/>
    <w:rsid w:val="0026665A"/>
    <w:rsid w:val="00266C1C"/>
    <w:rsid w:val="00266C83"/>
    <w:rsid w:val="00266FEC"/>
    <w:rsid w:val="00281911"/>
    <w:rsid w:val="0028489B"/>
    <w:rsid w:val="002863FF"/>
    <w:rsid w:val="002905D9"/>
    <w:rsid w:val="00292A2B"/>
    <w:rsid w:val="00294B28"/>
    <w:rsid w:val="00295294"/>
    <w:rsid w:val="002967CD"/>
    <w:rsid w:val="002A5CBC"/>
    <w:rsid w:val="002A6352"/>
    <w:rsid w:val="002B0845"/>
    <w:rsid w:val="002C5A73"/>
    <w:rsid w:val="002C6C13"/>
    <w:rsid w:val="002C6DF5"/>
    <w:rsid w:val="002D6095"/>
    <w:rsid w:val="002D72B4"/>
    <w:rsid w:val="002E4575"/>
    <w:rsid w:val="002E69B2"/>
    <w:rsid w:val="002F0E13"/>
    <w:rsid w:val="002F1A69"/>
    <w:rsid w:val="002F688E"/>
    <w:rsid w:val="00307668"/>
    <w:rsid w:val="00311537"/>
    <w:rsid w:val="00312525"/>
    <w:rsid w:val="0031624E"/>
    <w:rsid w:val="00317BA1"/>
    <w:rsid w:val="00322266"/>
    <w:rsid w:val="003347DD"/>
    <w:rsid w:val="00340E80"/>
    <w:rsid w:val="00340FD9"/>
    <w:rsid w:val="003478BE"/>
    <w:rsid w:val="0035048C"/>
    <w:rsid w:val="00361B97"/>
    <w:rsid w:val="0036226E"/>
    <w:rsid w:val="003622ED"/>
    <w:rsid w:val="00372C0F"/>
    <w:rsid w:val="00375B7C"/>
    <w:rsid w:val="00380CC3"/>
    <w:rsid w:val="003837EC"/>
    <w:rsid w:val="003875E2"/>
    <w:rsid w:val="00390F3B"/>
    <w:rsid w:val="003933A0"/>
    <w:rsid w:val="0039418E"/>
    <w:rsid w:val="003956CD"/>
    <w:rsid w:val="00395D63"/>
    <w:rsid w:val="003A1B82"/>
    <w:rsid w:val="003A4C62"/>
    <w:rsid w:val="003A5D9E"/>
    <w:rsid w:val="003A6B6A"/>
    <w:rsid w:val="003A749F"/>
    <w:rsid w:val="003A7F97"/>
    <w:rsid w:val="003B10D9"/>
    <w:rsid w:val="003B4CCE"/>
    <w:rsid w:val="003B6E9C"/>
    <w:rsid w:val="003C34EC"/>
    <w:rsid w:val="003D0DB7"/>
    <w:rsid w:val="003D17A5"/>
    <w:rsid w:val="003D3FF4"/>
    <w:rsid w:val="003E063A"/>
    <w:rsid w:val="003E1EB2"/>
    <w:rsid w:val="003E3161"/>
    <w:rsid w:val="003E6054"/>
    <w:rsid w:val="003F2352"/>
    <w:rsid w:val="00421492"/>
    <w:rsid w:val="0042740A"/>
    <w:rsid w:val="004302A2"/>
    <w:rsid w:val="004365BE"/>
    <w:rsid w:val="00440BDE"/>
    <w:rsid w:val="00444104"/>
    <w:rsid w:val="00444AA6"/>
    <w:rsid w:val="00444FA1"/>
    <w:rsid w:val="00463DC3"/>
    <w:rsid w:val="00465E78"/>
    <w:rsid w:val="00476F09"/>
    <w:rsid w:val="00487EF1"/>
    <w:rsid w:val="00490EC1"/>
    <w:rsid w:val="004916A3"/>
    <w:rsid w:val="004931EA"/>
    <w:rsid w:val="00495015"/>
    <w:rsid w:val="00497C96"/>
    <w:rsid w:val="004A0039"/>
    <w:rsid w:val="004A06C8"/>
    <w:rsid w:val="004A1FAD"/>
    <w:rsid w:val="004A6D4F"/>
    <w:rsid w:val="004B31E3"/>
    <w:rsid w:val="004B659F"/>
    <w:rsid w:val="004C003C"/>
    <w:rsid w:val="004C27FF"/>
    <w:rsid w:val="004C3446"/>
    <w:rsid w:val="004C4A7F"/>
    <w:rsid w:val="004C7106"/>
    <w:rsid w:val="004D14A6"/>
    <w:rsid w:val="004D323E"/>
    <w:rsid w:val="004D5656"/>
    <w:rsid w:val="004D653E"/>
    <w:rsid w:val="004E36C1"/>
    <w:rsid w:val="004E609B"/>
    <w:rsid w:val="004F143F"/>
    <w:rsid w:val="004F2959"/>
    <w:rsid w:val="004F5E39"/>
    <w:rsid w:val="00511FD4"/>
    <w:rsid w:val="0052400A"/>
    <w:rsid w:val="0052577A"/>
    <w:rsid w:val="00531B0A"/>
    <w:rsid w:val="00532CF0"/>
    <w:rsid w:val="00534561"/>
    <w:rsid w:val="005365BA"/>
    <w:rsid w:val="0053780C"/>
    <w:rsid w:val="00541CE6"/>
    <w:rsid w:val="0054334E"/>
    <w:rsid w:val="00556744"/>
    <w:rsid w:val="00560034"/>
    <w:rsid w:val="00562A66"/>
    <w:rsid w:val="00564DF0"/>
    <w:rsid w:val="005654D6"/>
    <w:rsid w:val="005665ED"/>
    <w:rsid w:val="005668A5"/>
    <w:rsid w:val="00567266"/>
    <w:rsid w:val="00567308"/>
    <w:rsid w:val="005678E5"/>
    <w:rsid w:val="00572341"/>
    <w:rsid w:val="00575BBF"/>
    <w:rsid w:val="00575FAA"/>
    <w:rsid w:val="00580A7C"/>
    <w:rsid w:val="00595D3E"/>
    <w:rsid w:val="00596C5A"/>
    <w:rsid w:val="005A2D89"/>
    <w:rsid w:val="005A3544"/>
    <w:rsid w:val="005B0FD4"/>
    <w:rsid w:val="005B517A"/>
    <w:rsid w:val="005C108A"/>
    <w:rsid w:val="005C6658"/>
    <w:rsid w:val="005D6FC6"/>
    <w:rsid w:val="005E13B8"/>
    <w:rsid w:val="005E13FE"/>
    <w:rsid w:val="005E462F"/>
    <w:rsid w:val="005E6F63"/>
    <w:rsid w:val="005E7582"/>
    <w:rsid w:val="005F2739"/>
    <w:rsid w:val="005F3215"/>
    <w:rsid w:val="005F48B2"/>
    <w:rsid w:val="005F63D4"/>
    <w:rsid w:val="00606179"/>
    <w:rsid w:val="00606557"/>
    <w:rsid w:val="006115CA"/>
    <w:rsid w:val="006123FD"/>
    <w:rsid w:val="006132B5"/>
    <w:rsid w:val="00613DF8"/>
    <w:rsid w:val="00620BB2"/>
    <w:rsid w:val="006213E4"/>
    <w:rsid w:val="00622AB1"/>
    <w:rsid w:val="00624503"/>
    <w:rsid w:val="006275A5"/>
    <w:rsid w:val="00631923"/>
    <w:rsid w:val="0063238D"/>
    <w:rsid w:val="00637E9D"/>
    <w:rsid w:val="00642113"/>
    <w:rsid w:val="00645154"/>
    <w:rsid w:val="006535C9"/>
    <w:rsid w:val="00656C04"/>
    <w:rsid w:val="00657528"/>
    <w:rsid w:val="00665F5D"/>
    <w:rsid w:val="00674D15"/>
    <w:rsid w:val="00674F18"/>
    <w:rsid w:val="006810C0"/>
    <w:rsid w:val="0068687D"/>
    <w:rsid w:val="006A133A"/>
    <w:rsid w:val="006A46E2"/>
    <w:rsid w:val="006A71B0"/>
    <w:rsid w:val="006B1227"/>
    <w:rsid w:val="006B5574"/>
    <w:rsid w:val="006B5D84"/>
    <w:rsid w:val="006B644D"/>
    <w:rsid w:val="006D1EE6"/>
    <w:rsid w:val="006D1F04"/>
    <w:rsid w:val="006D3236"/>
    <w:rsid w:val="006D63F5"/>
    <w:rsid w:val="006D6CD0"/>
    <w:rsid w:val="006E5D47"/>
    <w:rsid w:val="006F097F"/>
    <w:rsid w:val="006F5450"/>
    <w:rsid w:val="0070076F"/>
    <w:rsid w:val="007019C4"/>
    <w:rsid w:val="007068C4"/>
    <w:rsid w:val="00711903"/>
    <w:rsid w:val="00712131"/>
    <w:rsid w:val="00712367"/>
    <w:rsid w:val="00715987"/>
    <w:rsid w:val="007178B9"/>
    <w:rsid w:val="0073393A"/>
    <w:rsid w:val="00741D13"/>
    <w:rsid w:val="00742717"/>
    <w:rsid w:val="00744D18"/>
    <w:rsid w:val="0074535D"/>
    <w:rsid w:val="007475FF"/>
    <w:rsid w:val="007501FB"/>
    <w:rsid w:val="007656C7"/>
    <w:rsid w:val="0077119E"/>
    <w:rsid w:val="00775664"/>
    <w:rsid w:val="00775BCC"/>
    <w:rsid w:val="00776291"/>
    <w:rsid w:val="007769A7"/>
    <w:rsid w:val="00780CB1"/>
    <w:rsid w:val="0078145B"/>
    <w:rsid w:val="007A266D"/>
    <w:rsid w:val="007A5254"/>
    <w:rsid w:val="007A6180"/>
    <w:rsid w:val="007B2519"/>
    <w:rsid w:val="007B2AE9"/>
    <w:rsid w:val="007B513F"/>
    <w:rsid w:val="007C0605"/>
    <w:rsid w:val="007C2713"/>
    <w:rsid w:val="007D2BE4"/>
    <w:rsid w:val="007E1912"/>
    <w:rsid w:val="007E2F7B"/>
    <w:rsid w:val="007E5F72"/>
    <w:rsid w:val="00803E02"/>
    <w:rsid w:val="00805872"/>
    <w:rsid w:val="00807385"/>
    <w:rsid w:val="00810A3F"/>
    <w:rsid w:val="008118E9"/>
    <w:rsid w:val="00812678"/>
    <w:rsid w:val="00823AB8"/>
    <w:rsid w:val="008241A3"/>
    <w:rsid w:val="00825233"/>
    <w:rsid w:val="00832753"/>
    <w:rsid w:val="00845165"/>
    <w:rsid w:val="00845346"/>
    <w:rsid w:val="008623C7"/>
    <w:rsid w:val="0086550D"/>
    <w:rsid w:val="00870F91"/>
    <w:rsid w:val="008728BB"/>
    <w:rsid w:val="00880A7A"/>
    <w:rsid w:val="00890AE9"/>
    <w:rsid w:val="00892CF2"/>
    <w:rsid w:val="0089402E"/>
    <w:rsid w:val="008A00F5"/>
    <w:rsid w:val="008A2C06"/>
    <w:rsid w:val="008A769D"/>
    <w:rsid w:val="008B0519"/>
    <w:rsid w:val="008B36E4"/>
    <w:rsid w:val="008C2AD0"/>
    <w:rsid w:val="008C52B5"/>
    <w:rsid w:val="008D06CF"/>
    <w:rsid w:val="008D2098"/>
    <w:rsid w:val="008D3168"/>
    <w:rsid w:val="008D519B"/>
    <w:rsid w:val="008E14EB"/>
    <w:rsid w:val="008E6CBE"/>
    <w:rsid w:val="008E75FF"/>
    <w:rsid w:val="008F07A6"/>
    <w:rsid w:val="008F3DBD"/>
    <w:rsid w:val="008F482D"/>
    <w:rsid w:val="00900AF9"/>
    <w:rsid w:val="009022BF"/>
    <w:rsid w:val="00912D87"/>
    <w:rsid w:val="0091374B"/>
    <w:rsid w:val="00920DBB"/>
    <w:rsid w:val="00921521"/>
    <w:rsid w:val="00931044"/>
    <w:rsid w:val="00931E1D"/>
    <w:rsid w:val="009326F3"/>
    <w:rsid w:val="00933167"/>
    <w:rsid w:val="00935777"/>
    <w:rsid w:val="00941B42"/>
    <w:rsid w:val="0095147A"/>
    <w:rsid w:val="009538E1"/>
    <w:rsid w:val="009608E2"/>
    <w:rsid w:val="00960DEE"/>
    <w:rsid w:val="0096515C"/>
    <w:rsid w:val="009707A6"/>
    <w:rsid w:val="00972967"/>
    <w:rsid w:val="00972E56"/>
    <w:rsid w:val="009820EC"/>
    <w:rsid w:val="009838EE"/>
    <w:rsid w:val="00983DF0"/>
    <w:rsid w:val="0098427E"/>
    <w:rsid w:val="00985A3D"/>
    <w:rsid w:val="00985B07"/>
    <w:rsid w:val="009868E3"/>
    <w:rsid w:val="00987206"/>
    <w:rsid w:val="00990B23"/>
    <w:rsid w:val="0099128E"/>
    <w:rsid w:val="009947E9"/>
    <w:rsid w:val="009B1BFF"/>
    <w:rsid w:val="009B5A7C"/>
    <w:rsid w:val="009C170D"/>
    <w:rsid w:val="009C1900"/>
    <w:rsid w:val="009C5925"/>
    <w:rsid w:val="009C77E9"/>
    <w:rsid w:val="009C7F19"/>
    <w:rsid w:val="009D1A54"/>
    <w:rsid w:val="009D4C15"/>
    <w:rsid w:val="009D7834"/>
    <w:rsid w:val="009D7DCF"/>
    <w:rsid w:val="009E145D"/>
    <w:rsid w:val="009E20CD"/>
    <w:rsid w:val="009E633A"/>
    <w:rsid w:val="009F0CF5"/>
    <w:rsid w:val="009F7651"/>
    <w:rsid w:val="00A0226B"/>
    <w:rsid w:val="00A0630F"/>
    <w:rsid w:val="00A13EFB"/>
    <w:rsid w:val="00A16268"/>
    <w:rsid w:val="00A16CA3"/>
    <w:rsid w:val="00A2628D"/>
    <w:rsid w:val="00A27CCE"/>
    <w:rsid w:val="00A30F4C"/>
    <w:rsid w:val="00A31C5A"/>
    <w:rsid w:val="00A34DBC"/>
    <w:rsid w:val="00A425E8"/>
    <w:rsid w:val="00A46D5A"/>
    <w:rsid w:val="00A52B85"/>
    <w:rsid w:val="00A54242"/>
    <w:rsid w:val="00A55BCA"/>
    <w:rsid w:val="00A57AE2"/>
    <w:rsid w:val="00A61039"/>
    <w:rsid w:val="00A64A88"/>
    <w:rsid w:val="00A67B36"/>
    <w:rsid w:val="00A72385"/>
    <w:rsid w:val="00A73163"/>
    <w:rsid w:val="00A75578"/>
    <w:rsid w:val="00A817C1"/>
    <w:rsid w:val="00A82CF8"/>
    <w:rsid w:val="00A84AF4"/>
    <w:rsid w:val="00A85C3C"/>
    <w:rsid w:val="00A874CC"/>
    <w:rsid w:val="00A87959"/>
    <w:rsid w:val="00A93463"/>
    <w:rsid w:val="00A97D89"/>
    <w:rsid w:val="00AB3906"/>
    <w:rsid w:val="00AC090C"/>
    <w:rsid w:val="00AC73F2"/>
    <w:rsid w:val="00AD0A74"/>
    <w:rsid w:val="00AE1444"/>
    <w:rsid w:val="00AE6BCB"/>
    <w:rsid w:val="00AE7A5D"/>
    <w:rsid w:val="00AF3C57"/>
    <w:rsid w:val="00B03F9A"/>
    <w:rsid w:val="00B12C41"/>
    <w:rsid w:val="00B20270"/>
    <w:rsid w:val="00B210C2"/>
    <w:rsid w:val="00B26A09"/>
    <w:rsid w:val="00B337F9"/>
    <w:rsid w:val="00B46765"/>
    <w:rsid w:val="00B63F41"/>
    <w:rsid w:val="00B649E6"/>
    <w:rsid w:val="00B65896"/>
    <w:rsid w:val="00B671EC"/>
    <w:rsid w:val="00B71234"/>
    <w:rsid w:val="00B74455"/>
    <w:rsid w:val="00B7542D"/>
    <w:rsid w:val="00BA4D0D"/>
    <w:rsid w:val="00BA5A67"/>
    <w:rsid w:val="00BB2A08"/>
    <w:rsid w:val="00BB5AAF"/>
    <w:rsid w:val="00BB6F32"/>
    <w:rsid w:val="00BC4C16"/>
    <w:rsid w:val="00BD7CDD"/>
    <w:rsid w:val="00BE02C1"/>
    <w:rsid w:val="00BE39F4"/>
    <w:rsid w:val="00BE4D5F"/>
    <w:rsid w:val="00BE679D"/>
    <w:rsid w:val="00BE737B"/>
    <w:rsid w:val="00BF31E7"/>
    <w:rsid w:val="00BF34BB"/>
    <w:rsid w:val="00C01CFB"/>
    <w:rsid w:val="00C02370"/>
    <w:rsid w:val="00C03CB4"/>
    <w:rsid w:val="00C06244"/>
    <w:rsid w:val="00C06460"/>
    <w:rsid w:val="00C151C7"/>
    <w:rsid w:val="00C16DF9"/>
    <w:rsid w:val="00C17EA0"/>
    <w:rsid w:val="00C17FD4"/>
    <w:rsid w:val="00C20F25"/>
    <w:rsid w:val="00C223F0"/>
    <w:rsid w:val="00C24E36"/>
    <w:rsid w:val="00C25FEA"/>
    <w:rsid w:val="00C3084C"/>
    <w:rsid w:val="00C51F63"/>
    <w:rsid w:val="00C5217F"/>
    <w:rsid w:val="00C56AEC"/>
    <w:rsid w:val="00C60220"/>
    <w:rsid w:val="00C64AD9"/>
    <w:rsid w:val="00C7516C"/>
    <w:rsid w:val="00C77616"/>
    <w:rsid w:val="00C80B5A"/>
    <w:rsid w:val="00C90541"/>
    <w:rsid w:val="00C90F4A"/>
    <w:rsid w:val="00C91FB7"/>
    <w:rsid w:val="00C93D51"/>
    <w:rsid w:val="00C94237"/>
    <w:rsid w:val="00CA10D8"/>
    <w:rsid w:val="00CA163A"/>
    <w:rsid w:val="00CA3D2E"/>
    <w:rsid w:val="00CB6ECD"/>
    <w:rsid w:val="00CC3B46"/>
    <w:rsid w:val="00CC3B9F"/>
    <w:rsid w:val="00CC42E1"/>
    <w:rsid w:val="00CC7965"/>
    <w:rsid w:val="00CD0139"/>
    <w:rsid w:val="00CD1AFF"/>
    <w:rsid w:val="00CD6C43"/>
    <w:rsid w:val="00CD6FA8"/>
    <w:rsid w:val="00CF09C5"/>
    <w:rsid w:val="00CF32C1"/>
    <w:rsid w:val="00D01B4B"/>
    <w:rsid w:val="00D06B06"/>
    <w:rsid w:val="00D07EDE"/>
    <w:rsid w:val="00D12FC6"/>
    <w:rsid w:val="00D163BD"/>
    <w:rsid w:val="00D16972"/>
    <w:rsid w:val="00D16BB2"/>
    <w:rsid w:val="00D16F5F"/>
    <w:rsid w:val="00D23D85"/>
    <w:rsid w:val="00D27062"/>
    <w:rsid w:val="00D2794B"/>
    <w:rsid w:val="00D30D47"/>
    <w:rsid w:val="00D34D6E"/>
    <w:rsid w:val="00D42C52"/>
    <w:rsid w:val="00D43B30"/>
    <w:rsid w:val="00D46D99"/>
    <w:rsid w:val="00D4723C"/>
    <w:rsid w:val="00D47828"/>
    <w:rsid w:val="00D54112"/>
    <w:rsid w:val="00D546B5"/>
    <w:rsid w:val="00D5615E"/>
    <w:rsid w:val="00D718DE"/>
    <w:rsid w:val="00D82A3F"/>
    <w:rsid w:val="00D852F1"/>
    <w:rsid w:val="00DA1892"/>
    <w:rsid w:val="00DA2017"/>
    <w:rsid w:val="00DA30F8"/>
    <w:rsid w:val="00DA672E"/>
    <w:rsid w:val="00DA75D1"/>
    <w:rsid w:val="00DB52AC"/>
    <w:rsid w:val="00DD4BB3"/>
    <w:rsid w:val="00DD6C59"/>
    <w:rsid w:val="00DD7511"/>
    <w:rsid w:val="00DD7C5B"/>
    <w:rsid w:val="00DE10B1"/>
    <w:rsid w:val="00DE1411"/>
    <w:rsid w:val="00DE29F9"/>
    <w:rsid w:val="00DF0D9F"/>
    <w:rsid w:val="00DF4682"/>
    <w:rsid w:val="00DF5971"/>
    <w:rsid w:val="00DF5F46"/>
    <w:rsid w:val="00E0250D"/>
    <w:rsid w:val="00E03E79"/>
    <w:rsid w:val="00E06FF6"/>
    <w:rsid w:val="00E11383"/>
    <w:rsid w:val="00E15170"/>
    <w:rsid w:val="00E202B8"/>
    <w:rsid w:val="00E22CC2"/>
    <w:rsid w:val="00E271E7"/>
    <w:rsid w:val="00E37EAA"/>
    <w:rsid w:val="00E423EF"/>
    <w:rsid w:val="00E44C17"/>
    <w:rsid w:val="00E473B6"/>
    <w:rsid w:val="00E51C86"/>
    <w:rsid w:val="00E53049"/>
    <w:rsid w:val="00E66298"/>
    <w:rsid w:val="00E6764A"/>
    <w:rsid w:val="00E676BD"/>
    <w:rsid w:val="00E81009"/>
    <w:rsid w:val="00E83A93"/>
    <w:rsid w:val="00E8575B"/>
    <w:rsid w:val="00E8626A"/>
    <w:rsid w:val="00E8703D"/>
    <w:rsid w:val="00E915D3"/>
    <w:rsid w:val="00E91C2F"/>
    <w:rsid w:val="00E933B4"/>
    <w:rsid w:val="00E952B7"/>
    <w:rsid w:val="00E975ED"/>
    <w:rsid w:val="00EA135E"/>
    <w:rsid w:val="00EA22DC"/>
    <w:rsid w:val="00EA2491"/>
    <w:rsid w:val="00EA2E1C"/>
    <w:rsid w:val="00EA6E5F"/>
    <w:rsid w:val="00EB7E59"/>
    <w:rsid w:val="00EC2091"/>
    <w:rsid w:val="00EC37C6"/>
    <w:rsid w:val="00EC3E85"/>
    <w:rsid w:val="00EC4442"/>
    <w:rsid w:val="00ED02BA"/>
    <w:rsid w:val="00ED3987"/>
    <w:rsid w:val="00ED4EC1"/>
    <w:rsid w:val="00ED6AE0"/>
    <w:rsid w:val="00EE16B0"/>
    <w:rsid w:val="00EE1C57"/>
    <w:rsid w:val="00EE2253"/>
    <w:rsid w:val="00EE4D45"/>
    <w:rsid w:val="00EE7DF8"/>
    <w:rsid w:val="00EF1AAC"/>
    <w:rsid w:val="00EF67AF"/>
    <w:rsid w:val="00EF6903"/>
    <w:rsid w:val="00F041E7"/>
    <w:rsid w:val="00F11B6F"/>
    <w:rsid w:val="00F141BC"/>
    <w:rsid w:val="00F1501A"/>
    <w:rsid w:val="00F203D3"/>
    <w:rsid w:val="00F20EEE"/>
    <w:rsid w:val="00F22608"/>
    <w:rsid w:val="00F23F46"/>
    <w:rsid w:val="00F243BB"/>
    <w:rsid w:val="00F36A47"/>
    <w:rsid w:val="00F42DD2"/>
    <w:rsid w:val="00F43885"/>
    <w:rsid w:val="00F44BE5"/>
    <w:rsid w:val="00F4655C"/>
    <w:rsid w:val="00F5292B"/>
    <w:rsid w:val="00F52E6A"/>
    <w:rsid w:val="00F53167"/>
    <w:rsid w:val="00F60302"/>
    <w:rsid w:val="00F61DC4"/>
    <w:rsid w:val="00F64652"/>
    <w:rsid w:val="00F65452"/>
    <w:rsid w:val="00F71F7E"/>
    <w:rsid w:val="00F72CE9"/>
    <w:rsid w:val="00F75812"/>
    <w:rsid w:val="00F85B0D"/>
    <w:rsid w:val="00F9313D"/>
    <w:rsid w:val="00F936A6"/>
    <w:rsid w:val="00FA7144"/>
    <w:rsid w:val="00FA771F"/>
    <w:rsid w:val="00FB1B59"/>
    <w:rsid w:val="00FB3DAE"/>
    <w:rsid w:val="00FB4CDF"/>
    <w:rsid w:val="00FB7764"/>
    <w:rsid w:val="00FC11C9"/>
    <w:rsid w:val="00FC137F"/>
    <w:rsid w:val="00FC1B09"/>
    <w:rsid w:val="00FD20F2"/>
    <w:rsid w:val="00FE1B3D"/>
    <w:rsid w:val="00FE4956"/>
    <w:rsid w:val="00FF39B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2790F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Normal (Web)" w:uiPriority="99"/>
    <w:lsdException w:name="List Paragraph" w:uiPriority="34" w:qFormat="1"/>
    <w:lsdException w:name="TOC Heading" w:uiPriority="39" w:qFormat="1"/>
  </w:latentStyles>
  <w:style w:type="paragraph" w:default="1" w:styleId="Normal">
    <w:name w:val="Normal"/>
    <w:qFormat/>
    <w:rsid w:val="00DA75D1"/>
    <w:pPr>
      <w:spacing w:before="120"/>
      <w:jc w:val="both"/>
    </w:pPr>
    <w:rPr>
      <w:sz w:val="24"/>
    </w:rPr>
  </w:style>
  <w:style w:type="paragraph" w:styleId="Heading1">
    <w:name w:val="heading 1"/>
    <w:basedOn w:val="Normal"/>
    <w:next w:val="Normal"/>
    <w:autoRedefine/>
    <w:qFormat/>
    <w:rsid w:val="00624503"/>
    <w:pPr>
      <w:keepNext/>
      <w:numPr>
        <w:numId w:val="27"/>
      </w:numPr>
      <w:spacing w:before="240" w:after="60"/>
      <w:ind w:left="432"/>
      <w:outlineLvl w:val="0"/>
    </w:pPr>
    <w:rPr>
      <w:rFonts w:ascii="Arial" w:hAnsi="Arial"/>
      <w:b/>
      <w:kern w:val="28"/>
      <w:sz w:val="28"/>
    </w:rPr>
  </w:style>
  <w:style w:type="paragraph" w:styleId="Heading2">
    <w:name w:val="heading 2"/>
    <w:basedOn w:val="Normal"/>
    <w:next w:val="Normal"/>
    <w:qFormat/>
    <w:rsid w:val="00DA75D1"/>
    <w:pPr>
      <w:keepNext/>
      <w:numPr>
        <w:ilvl w:val="1"/>
        <w:numId w:val="27"/>
      </w:numPr>
      <w:spacing w:before="240" w:after="60"/>
      <w:outlineLvl w:val="1"/>
    </w:pPr>
    <w:rPr>
      <w:rFonts w:ascii="Arial" w:hAnsi="Arial"/>
      <w:b/>
      <w:sz w:val="26"/>
    </w:rPr>
  </w:style>
  <w:style w:type="paragraph" w:styleId="Heading3">
    <w:name w:val="heading 3"/>
    <w:basedOn w:val="Normal"/>
    <w:next w:val="Normal"/>
    <w:autoRedefine/>
    <w:qFormat/>
    <w:rsid w:val="00DA75D1"/>
    <w:pPr>
      <w:keepNext/>
      <w:numPr>
        <w:ilvl w:val="2"/>
        <w:numId w:val="27"/>
      </w:numPr>
      <w:spacing w:before="240" w:after="60"/>
      <w:outlineLvl w:val="2"/>
    </w:pPr>
    <w:rPr>
      <w:rFonts w:ascii="Arial" w:hAnsi="Arial"/>
      <w:b/>
    </w:rPr>
  </w:style>
  <w:style w:type="paragraph" w:styleId="Heading4">
    <w:name w:val="heading 4"/>
    <w:basedOn w:val="Normal"/>
    <w:next w:val="Normal"/>
    <w:autoRedefine/>
    <w:qFormat/>
    <w:rsid w:val="00DA75D1"/>
    <w:pPr>
      <w:keepNext/>
      <w:numPr>
        <w:ilvl w:val="3"/>
        <w:numId w:val="27"/>
      </w:numPr>
      <w:spacing w:before="240" w:after="60"/>
      <w:outlineLvl w:val="3"/>
    </w:pPr>
    <w:rPr>
      <w:rFonts w:ascii="Arial" w:hAnsi="Arial"/>
      <w:b/>
    </w:rPr>
  </w:style>
  <w:style w:type="paragraph" w:styleId="Heading5">
    <w:name w:val="heading 5"/>
    <w:basedOn w:val="Normal"/>
    <w:next w:val="Normal"/>
    <w:qFormat/>
    <w:rsid w:val="00DA75D1"/>
    <w:pPr>
      <w:keepNext/>
      <w:numPr>
        <w:ilvl w:val="4"/>
        <w:numId w:val="27"/>
      </w:numPr>
      <w:outlineLvl w:val="4"/>
    </w:pPr>
    <w:rPr>
      <w:b/>
    </w:rPr>
  </w:style>
  <w:style w:type="paragraph" w:styleId="Heading6">
    <w:name w:val="heading 6"/>
    <w:basedOn w:val="Normal"/>
    <w:next w:val="Normal"/>
    <w:qFormat/>
    <w:rsid w:val="00DA75D1"/>
    <w:pPr>
      <w:numPr>
        <w:ilvl w:val="5"/>
        <w:numId w:val="27"/>
      </w:numPr>
      <w:spacing w:before="240" w:after="60"/>
      <w:outlineLvl w:val="5"/>
    </w:pPr>
    <w:rPr>
      <w:i/>
      <w:sz w:val="22"/>
    </w:rPr>
  </w:style>
  <w:style w:type="paragraph" w:styleId="Heading7">
    <w:name w:val="heading 7"/>
    <w:basedOn w:val="Normal"/>
    <w:next w:val="Normal"/>
    <w:qFormat/>
    <w:rsid w:val="00DA75D1"/>
    <w:pPr>
      <w:numPr>
        <w:ilvl w:val="6"/>
        <w:numId w:val="27"/>
      </w:numPr>
      <w:spacing w:before="240" w:after="60"/>
      <w:outlineLvl w:val="6"/>
    </w:pPr>
    <w:rPr>
      <w:rFonts w:ascii="Arial" w:hAnsi="Arial"/>
      <w:sz w:val="20"/>
    </w:rPr>
  </w:style>
  <w:style w:type="paragraph" w:styleId="Heading8">
    <w:name w:val="heading 8"/>
    <w:basedOn w:val="Normal"/>
    <w:next w:val="Normal"/>
    <w:qFormat/>
    <w:rsid w:val="00DA75D1"/>
    <w:pPr>
      <w:numPr>
        <w:ilvl w:val="7"/>
        <w:numId w:val="27"/>
      </w:numPr>
      <w:spacing w:before="240" w:after="60"/>
      <w:outlineLvl w:val="7"/>
    </w:pPr>
    <w:rPr>
      <w:rFonts w:ascii="Arial" w:hAnsi="Arial"/>
      <w:i/>
      <w:sz w:val="20"/>
    </w:rPr>
  </w:style>
  <w:style w:type="paragraph" w:styleId="Heading9">
    <w:name w:val="heading 9"/>
    <w:basedOn w:val="Normal"/>
    <w:next w:val="Normal"/>
    <w:qFormat/>
    <w:rsid w:val="00DA75D1"/>
    <w:pPr>
      <w:numPr>
        <w:ilvl w:val="8"/>
        <w:numId w:val="27"/>
      </w:num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DA75D1"/>
  </w:style>
  <w:style w:type="paragraph" w:styleId="DocumentMap">
    <w:name w:val="Document Map"/>
    <w:basedOn w:val="Normal"/>
    <w:semiHidden/>
    <w:rsid w:val="00DA75D1"/>
    <w:pPr>
      <w:shd w:val="clear" w:color="auto" w:fill="000080"/>
    </w:pPr>
    <w:rPr>
      <w:rFonts w:ascii="Tahoma" w:hAnsi="Tahoma"/>
    </w:rPr>
  </w:style>
  <w:style w:type="paragraph" w:customStyle="1" w:styleId="HTMLBody">
    <w:name w:val="HTML Body"/>
    <w:rsid w:val="00DA75D1"/>
    <w:rPr>
      <w:rFonts w:ascii="Courier New" w:hAnsi="Courier New"/>
    </w:rPr>
  </w:style>
  <w:style w:type="paragraph" w:styleId="ListNumber">
    <w:name w:val="List Number"/>
    <w:basedOn w:val="Normal"/>
    <w:rsid w:val="00DA75D1"/>
    <w:pPr>
      <w:numPr>
        <w:numId w:val="4"/>
      </w:numPr>
    </w:pPr>
  </w:style>
  <w:style w:type="paragraph" w:styleId="ListNumber2">
    <w:name w:val="List Number 2"/>
    <w:basedOn w:val="Normal"/>
    <w:rsid w:val="00DA75D1"/>
    <w:pPr>
      <w:numPr>
        <w:numId w:val="5"/>
      </w:numPr>
    </w:pPr>
  </w:style>
  <w:style w:type="paragraph" w:styleId="ListBullet">
    <w:name w:val="List Bullet"/>
    <w:basedOn w:val="Normal"/>
    <w:autoRedefine/>
    <w:rsid w:val="00DA75D1"/>
    <w:pPr>
      <w:numPr>
        <w:numId w:val="8"/>
      </w:numPr>
    </w:pPr>
  </w:style>
  <w:style w:type="paragraph" w:styleId="Caption">
    <w:name w:val="caption"/>
    <w:basedOn w:val="Normal"/>
    <w:next w:val="Normal"/>
    <w:qFormat/>
    <w:rsid w:val="00DA75D1"/>
    <w:pPr>
      <w:spacing w:after="120"/>
    </w:pPr>
    <w:rPr>
      <w:b/>
    </w:rPr>
  </w:style>
  <w:style w:type="paragraph" w:styleId="Footer">
    <w:name w:val="footer"/>
    <w:basedOn w:val="Normal"/>
    <w:rsid w:val="00DA75D1"/>
    <w:pPr>
      <w:tabs>
        <w:tab w:val="center" w:pos="4320"/>
        <w:tab w:val="right" w:pos="8640"/>
      </w:tabs>
    </w:pPr>
  </w:style>
  <w:style w:type="character" w:styleId="PageNumber">
    <w:name w:val="page number"/>
    <w:basedOn w:val="DefaultParagraphFont"/>
    <w:rsid w:val="00DA75D1"/>
    <w:rPr>
      <w:rFonts w:cs="Times New Roman"/>
    </w:rPr>
  </w:style>
  <w:style w:type="paragraph" w:styleId="Header">
    <w:name w:val="header"/>
    <w:basedOn w:val="Normal"/>
    <w:rsid w:val="00DA75D1"/>
    <w:pPr>
      <w:tabs>
        <w:tab w:val="center" w:pos="4320"/>
        <w:tab w:val="right" w:pos="8640"/>
      </w:tabs>
    </w:pPr>
  </w:style>
  <w:style w:type="paragraph" w:styleId="BodyText">
    <w:name w:val="Body Text"/>
    <w:basedOn w:val="Normal"/>
    <w:rsid w:val="00DA75D1"/>
    <w:pPr>
      <w:jc w:val="center"/>
    </w:pPr>
    <w:rPr>
      <w:rFonts w:ascii="Times" w:hAnsi="Times"/>
      <w:sz w:val="40"/>
    </w:rPr>
  </w:style>
  <w:style w:type="paragraph" w:styleId="TableofFigures">
    <w:name w:val="table of figures"/>
    <w:basedOn w:val="Normal"/>
    <w:next w:val="Normal"/>
    <w:semiHidden/>
    <w:rsid w:val="00DA75D1"/>
    <w:pPr>
      <w:spacing w:before="0"/>
      <w:jc w:val="left"/>
    </w:pPr>
    <w:rPr>
      <w:i/>
      <w:iCs/>
      <w:szCs w:val="24"/>
    </w:rPr>
  </w:style>
  <w:style w:type="character" w:styleId="Hyperlink">
    <w:name w:val="Hyperlink"/>
    <w:basedOn w:val="DefaultParagraphFont"/>
    <w:rsid w:val="00DA75D1"/>
    <w:rPr>
      <w:rFonts w:cs="Times New Roman"/>
      <w:color w:val="0000FF"/>
      <w:u w:val="single"/>
    </w:rPr>
  </w:style>
  <w:style w:type="paragraph" w:styleId="TOC1">
    <w:name w:val="toc 1"/>
    <w:basedOn w:val="Normal"/>
    <w:next w:val="Normal"/>
    <w:autoRedefine/>
    <w:uiPriority w:val="39"/>
    <w:rsid w:val="00DA75D1"/>
    <w:pPr>
      <w:jc w:val="left"/>
    </w:pPr>
    <w:rPr>
      <w:rFonts w:asciiTheme="minorHAnsi" w:hAnsiTheme="minorHAnsi"/>
      <w:b/>
      <w:szCs w:val="24"/>
    </w:rPr>
  </w:style>
  <w:style w:type="paragraph" w:styleId="TOC2">
    <w:name w:val="toc 2"/>
    <w:basedOn w:val="Normal"/>
    <w:next w:val="Normal"/>
    <w:autoRedefine/>
    <w:uiPriority w:val="39"/>
    <w:rsid w:val="00DA75D1"/>
    <w:pPr>
      <w:spacing w:before="0"/>
      <w:ind w:left="240"/>
      <w:jc w:val="left"/>
    </w:pPr>
    <w:rPr>
      <w:rFonts w:asciiTheme="minorHAnsi" w:hAnsiTheme="minorHAnsi"/>
      <w:b/>
      <w:sz w:val="22"/>
      <w:szCs w:val="22"/>
    </w:rPr>
  </w:style>
  <w:style w:type="paragraph" w:styleId="TOC3">
    <w:name w:val="toc 3"/>
    <w:basedOn w:val="Normal"/>
    <w:next w:val="Normal"/>
    <w:autoRedefine/>
    <w:semiHidden/>
    <w:rsid w:val="00DA75D1"/>
    <w:pPr>
      <w:spacing w:before="0"/>
      <w:ind w:left="480"/>
      <w:jc w:val="left"/>
    </w:pPr>
    <w:rPr>
      <w:rFonts w:asciiTheme="minorHAnsi" w:hAnsiTheme="minorHAnsi"/>
      <w:sz w:val="22"/>
      <w:szCs w:val="22"/>
    </w:rPr>
  </w:style>
  <w:style w:type="paragraph" w:styleId="TOC4">
    <w:name w:val="toc 4"/>
    <w:basedOn w:val="Normal"/>
    <w:next w:val="Normal"/>
    <w:autoRedefine/>
    <w:semiHidden/>
    <w:rsid w:val="00DA75D1"/>
    <w:pPr>
      <w:spacing w:before="0"/>
      <w:ind w:left="720"/>
      <w:jc w:val="left"/>
    </w:pPr>
    <w:rPr>
      <w:rFonts w:asciiTheme="minorHAnsi" w:hAnsiTheme="minorHAnsi"/>
      <w:sz w:val="20"/>
    </w:rPr>
  </w:style>
  <w:style w:type="paragraph" w:styleId="TOC5">
    <w:name w:val="toc 5"/>
    <w:basedOn w:val="Normal"/>
    <w:next w:val="Normal"/>
    <w:autoRedefine/>
    <w:semiHidden/>
    <w:rsid w:val="00DA75D1"/>
    <w:pPr>
      <w:spacing w:before="0"/>
      <w:ind w:left="960"/>
      <w:jc w:val="left"/>
    </w:pPr>
    <w:rPr>
      <w:rFonts w:asciiTheme="minorHAnsi" w:hAnsiTheme="minorHAnsi"/>
      <w:sz w:val="20"/>
    </w:rPr>
  </w:style>
  <w:style w:type="paragraph" w:styleId="TOC6">
    <w:name w:val="toc 6"/>
    <w:basedOn w:val="Normal"/>
    <w:next w:val="Normal"/>
    <w:autoRedefine/>
    <w:semiHidden/>
    <w:rsid w:val="00DA75D1"/>
    <w:pPr>
      <w:spacing w:before="0"/>
      <w:ind w:left="1200"/>
      <w:jc w:val="left"/>
    </w:pPr>
    <w:rPr>
      <w:rFonts w:asciiTheme="minorHAnsi" w:hAnsiTheme="minorHAnsi"/>
      <w:sz w:val="20"/>
    </w:rPr>
  </w:style>
  <w:style w:type="paragraph" w:styleId="TOC7">
    <w:name w:val="toc 7"/>
    <w:basedOn w:val="Normal"/>
    <w:next w:val="Normal"/>
    <w:autoRedefine/>
    <w:semiHidden/>
    <w:rsid w:val="00DA75D1"/>
    <w:pPr>
      <w:spacing w:before="0"/>
      <w:ind w:left="1440"/>
      <w:jc w:val="left"/>
    </w:pPr>
    <w:rPr>
      <w:rFonts w:asciiTheme="minorHAnsi" w:hAnsiTheme="minorHAnsi"/>
      <w:sz w:val="20"/>
    </w:rPr>
  </w:style>
  <w:style w:type="paragraph" w:styleId="TOC8">
    <w:name w:val="toc 8"/>
    <w:basedOn w:val="Normal"/>
    <w:next w:val="Normal"/>
    <w:autoRedefine/>
    <w:semiHidden/>
    <w:rsid w:val="00DA75D1"/>
    <w:pPr>
      <w:spacing w:before="0"/>
      <w:ind w:left="1680"/>
      <w:jc w:val="left"/>
    </w:pPr>
    <w:rPr>
      <w:rFonts w:asciiTheme="minorHAnsi" w:hAnsiTheme="minorHAnsi"/>
      <w:sz w:val="20"/>
    </w:rPr>
  </w:style>
  <w:style w:type="paragraph" w:styleId="TOC9">
    <w:name w:val="toc 9"/>
    <w:basedOn w:val="Normal"/>
    <w:next w:val="Normal"/>
    <w:autoRedefine/>
    <w:semiHidden/>
    <w:rsid w:val="00DA75D1"/>
    <w:pPr>
      <w:spacing w:before="0"/>
      <w:ind w:left="1920"/>
      <w:jc w:val="left"/>
    </w:pPr>
    <w:rPr>
      <w:rFonts w:asciiTheme="minorHAnsi" w:hAnsiTheme="minorHAnsi"/>
      <w:sz w:val="20"/>
    </w:rPr>
  </w:style>
  <w:style w:type="paragraph" w:styleId="FootnoteText">
    <w:name w:val="footnote text"/>
    <w:basedOn w:val="Normal"/>
    <w:semiHidden/>
    <w:rsid w:val="00DA75D1"/>
    <w:rPr>
      <w:sz w:val="20"/>
    </w:rPr>
  </w:style>
  <w:style w:type="character" w:styleId="FootnoteReference">
    <w:name w:val="footnote reference"/>
    <w:basedOn w:val="DefaultParagraphFont"/>
    <w:semiHidden/>
    <w:rsid w:val="00DA75D1"/>
    <w:rPr>
      <w:rFonts w:cs="Times New Roman"/>
      <w:vertAlign w:val="superscript"/>
    </w:rPr>
  </w:style>
  <w:style w:type="paragraph" w:styleId="ListParagraph">
    <w:name w:val="List Paragraph"/>
    <w:basedOn w:val="Normal"/>
    <w:uiPriority w:val="34"/>
    <w:qFormat/>
    <w:rsid w:val="00A46D5A"/>
    <w:pPr>
      <w:ind w:left="720"/>
    </w:pPr>
  </w:style>
  <w:style w:type="table" w:customStyle="1" w:styleId="MediumGrid3-Accent31">
    <w:name w:val="Medium Grid 3 - Accent 31"/>
    <w:rsid w:val="00CF09C5"/>
    <w:rPr>
      <w:rFonts w:ascii="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TableGrid">
    <w:name w:val="Table Grid"/>
    <w:basedOn w:val="TableNormal"/>
    <w:rsid w:val="00CF09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Accent11">
    <w:name w:val="Light Grid - Accent 11"/>
    <w:rsid w:val="00B74455"/>
    <w:rPr>
      <w:rFonts w:ascii="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Times New Roman" w:eastAsia="Times New Roman" w:hAnsi="Times New 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Times New Roman" w:eastAsia="Times New Roman" w:hAnsi="Times New 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
    <w:name w:val="Medium Grid 1 - Accent 11"/>
    <w:rsid w:val="00F75812"/>
    <w:rPr>
      <w:rFonts w:ascii="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styleId="BalloonText">
    <w:name w:val="Balloon Text"/>
    <w:basedOn w:val="Normal"/>
    <w:link w:val="BalloonTextChar"/>
    <w:rsid w:val="00AD0A74"/>
    <w:pPr>
      <w:spacing w:before="0"/>
    </w:pPr>
    <w:rPr>
      <w:rFonts w:ascii="Lucida Grande" w:hAnsi="Lucida Grande"/>
      <w:sz w:val="18"/>
      <w:szCs w:val="18"/>
    </w:rPr>
  </w:style>
  <w:style w:type="character" w:customStyle="1" w:styleId="BalloonTextChar">
    <w:name w:val="Balloon Text Char"/>
    <w:basedOn w:val="DefaultParagraphFont"/>
    <w:link w:val="BalloonText"/>
    <w:rsid w:val="00AD0A74"/>
    <w:rPr>
      <w:rFonts w:ascii="Lucida Grande" w:hAnsi="Lucida Grande"/>
      <w:sz w:val="18"/>
      <w:szCs w:val="18"/>
    </w:rPr>
  </w:style>
  <w:style w:type="paragraph" w:styleId="NormalWeb">
    <w:name w:val="Normal (Web)"/>
    <w:basedOn w:val="Normal"/>
    <w:uiPriority w:val="99"/>
    <w:unhideWhenUsed/>
    <w:rsid w:val="00AD0A74"/>
    <w:pPr>
      <w:spacing w:before="100" w:beforeAutospacing="1" w:after="100" w:afterAutospacing="1"/>
      <w:jc w:val="left"/>
    </w:pPr>
    <w:rPr>
      <w:rFonts w:ascii="Times" w:eastAsiaTheme="minorEastAsia" w:hAnsi="Times"/>
      <w:sz w:val="20"/>
    </w:rPr>
  </w:style>
  <w:style w:type="character" w:styleId="FollowedHyperlink">
    <w:name w:val="FollowedHyperlink"/>
    <w:basedOn w:val="DefaultParagraphFont"/>
    <w:rsid w:val="002540F9"/>
    <w:rPr>
      <w:color w:val="800080" w:themeColor="followedHyperlink"/>
      <w:u w:val="single"/>
    </w:rPr>
  </w:style>
  <w:style w:type="table" w:styleId="LightShading">
    <w:name w:val="Light Shading"/>
    <w:basedOn w:val="TableNormal"/>
    <w:rsid w:val="006F097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rsid w:val="006F097F"/>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TOCHeading">
    <w:name w:val="TOC Heading"/>
    <w:basedOn w:val="Heading1"/>
    <w:next w:val="Normal"/>
    <w:uiPriority w:val="39"/>
    <w:unhideWhenUsed/>
    <w:qFormat/>
    <w:rsid w:val="006213E4"/>
    <w:pPr>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kern w:val="0"/>
      <w:szCs w:val="28"/>
    </w:rPr>
  </w:style>
  <w:style w:type="character" w:styleId="PlaceholderText">
    <w:name w:val="Placeholder Text"/>
    <w:basedOn w:val="DefaultParagraphFont"/>
    <w:rsid w:val="00642113"/>
    <w:rPr>
      <w:color w:val="808080"/>
    </w:rPr>
  </w:style>
  <w:style w:type="table" w:styleId="TableList3">
    <w:name w:val="Table List 3"/>
    <w:basedOn w:val="TableNormal"/>
    <w:rsid w:val="00890AE9"/>
    <w:pPr>
      <w:spacing w:before="120"/>
      <w:jc w:val="center"/>
    </w:pPr>
    <w:tblPr>
      <w:tblInd w:w="0" w:type="dxa"/>
      <w:tblBorders>
        <w:top w:val="single" w:sz="12" w:space="0" w:color="000000"/>
        <w:bottom w:val="single" w:sz="12" w:space="0" w:color="000000"/>
        <w:insideV w:val="single" w:sz="4" w:space="0" w:color="auto"/>
      </w:tblBorders>
      <w:tblCellMar>
        <w:top w:w="0" w:type="dxa"/>
        <w:left w:w="108" w:type="dxa"/>
        <w:bottom w:w="0" w:type="dxa"/>
        <w:right w:w="108" w:type="dxa"/>
      </w:tblCellMar>
    </w:tblPr>
    <w:trPr>
      <w:cantSplit/>
    </w:trPr>
    <w:tcPr>
      <w:shd w:val="clear" w:color="auto" w:fill="auto"/>
      <w:vAlign w:val="center"/>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eSimple2">
    <w:name w:val="Table Simple 2"/>
    <w:basedOn w:val="TableNormal"/>
    <w:rsid w:val="00A57AE2"/>
    <w:pPr>
      <w:spacing w:before="120"/>
      <w:jc w:val="both"/>
    </w:pPr>
    <w:tblPr>
      <w:tblInd w:w="0" w:type="dxa"/>
      <w:tblCellMar>
        <w:top w:w="0" w:type="dxa"/>
        <w:left w:w="108" w:type="dxa"/>
        <w:bottom w:w="0" w:type="dxa"/>
        <w:right w:w="108" w:type="dxa"/>
      </w:tblCellMa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Normal (Web)" w:uiPriority="99"/>
    <w:lsdException w:name="List Paragraph" w:uiPriority="34" w:qFormat="1"/>
    <w:lsdException w:name="TOC Heading" w:uiPriority="39" w:qFormat="1"/>
  </w:latentStyles>
  <w:style w:type="paragraph" w:default="1" w:styleId="Normal">
    <w:name w:val="Normal"/>
    <w:qFormat/>
    <w:rsid w:val="00DA75D1"/>
    <w:pPr>
      <w:spacing w:before="120"/>
      <w:jc w:val="both"/>
    </w:pPr>
    <w:rPr>
      <w:sz w:val="24"/>
    </w:rPr>
  </w:style>
  <w:style w:type="paragraph" w:styleId="Heading1">
    <w:name w:val="heading 1"/>
    <w:basedOn w:val="Normal"/>
    <w:next w:val="Normal"/>
    <w:autoRedefine/>
    <w:qFormat/>
    <w:rsid w:val="00624503"/>
    <w:pPr>
      <w:keepNext/>
      <w:numPr>
        <w:numId w:val="27"/>
      </w:numPr>
      <w:spacing w:before="240" w:after="60"/>
      <w:ind w:left="432"/>
      <w:outlineLvl w:val="0"/>
    </w:pPr>
    <w:rPr>
      <w:rFonts w:ascii="Arial" w:hAnsi="Arial"/>
      <w:b/>
      <w:kern w:val="28"/>
      <w:sz w:val="28"/>
    </w:rPr>
  </w:style>
  <w:style w:type="paragraph" w:styleId="Heading2">
    <w:name w:val="heading 2"/>
    <w:basedOn w:val="Normal"/>
    <w:next w:val="Normal"/>
    <w:qFormat/>
    <w:rsid w:val="00DA75D1"/>
    <w:pPr>
      <w:keepNext/>
      <w:numPr>
        <w:ilvl w:val="1"/>
        <w:numId w:val="27"/>
      </w:numPr>
      <w:spacing w:before="240" w:after="60"/>
      <w:outlineLvl w:val="1"/>
    </w:pPr>
    <w:rPr>
      <w:rFonts w:ascii="Arial" w:hAnsi="Arial"/>
      <w:b/>
      <w:sz w:val="26"/>
    </w:rPr>
  </w:style>
  <w:style w:type="paragraph" w:styleId="Heading3">
    <w:name w:val="heading 3"/>
    <w:basedOn w:val="Normal"/>
    <w:next w:val="Normal"/>
    <w:autoRedefine/>
    <w:qFormat/>
    <w:rsid w:val="00DA75D1"/>
    <w:pPr>
      <w:keepNext/>
      <w:numPr>
        <w:ilvl w:val="2"/>
        <w:numId w:val="27"/>
      </w:numPr>
      <w:spacing w:before="240" w:after="60"/>
      <w:outlineLvl w:val="2"/>
    </w:pPr>
    <w:rPr>
      <w:rFonts w:ascii="Arial" w:hAnsi="Arial"/>
      <w:b/>
    </w:rPr>
  </w:style>
  <w:style w:type="paragraph" w:styleId="Heading4">
    <w:name w:val="heading 4"/>
    <w:basedOn w:val="Normal"/>
    <w:next w:val="Normal"/>
    <w:autoRedefine/>
    <w:qFormat/>
    <w:rsid w:val="00DA75D1"/>
    <w:pPr>
      <w:keepNext/>
      <w:numPr>
        <w:ilvl w:val="3"/>
        <w:numId w:val="27"/>
      </w:numPr>
      <w:spacing w:before="240" w:after="60"/>
      <w:outlineLvl w:val="3"/>
    </w:pPr>
    <w:rPr>
      <w:rFonts w:ascii="Arial" w:hAnsi="Arial"/>
      <w:b/>
    </w:rPr>
  </w:style>
  <w:style w:type="paragraph" w:styleId="Heading5">
    <w:name w:val="heading 5"/>
    <w:basedOn w:val="Normal"/>
    <w:next w:val="Normal"/>
    <w:qFormat/>
    <w:rsid w:val="00DA75D1"/>
    <w:pPr>
      <w:keepNext/>
      <w:numPr>
        <w:ilvl w:val="4"/>
        <w:numId w:val="27"/>
      </w:numPr>
      <w:outlineLvl w:val="4"/>
    </w:pPr>
    <w:rPr>
      <w:b/>
    </w:rPr>
  </w:style>
  <w:style w:type="paragraph" w:styleId="Heading6">
    <w:name w:val="heading 6"/>
    <w:basedOn w:val="Normal"/>
    <w:next w:val="Normal"/>
    <w:qFormat/>
    <w:rsid w:val="00DA75D1"/>
    <w:pPr>
      <w:numPr>
        <w:ilvl w:val="5"/>
        <w:numId w:val="27"/>
      </w:numPr>
      <w:spacing w:before="240" w:after="60"/>
      <w:outlineLvl w:val="5"/>
    </w:pPr>
    <w:rPr>
      <w:i/>
      <w:sz w:val="22"/>
    </w:rPr>
  </w:style>
  <w:style w:type="paragraph" w:styleId="Heading7">
    <w:name w:val="heading 7"/>
    <w:basedOn w:val="Normal"/>
    <w:next w:val="Normal"/>
    <w:qFormat/>
    <w:rsid w:val="00DA75D1"/>
    <w:pPr>
      <w:numPr>
        <w:ilvl w:val="6"/>
        <w:numId w:val="27"/>
      </w:numPr>
      <w:spacing w:before="240" w:after="60"/>
      <w:outlineLvl w:val="6"/>
    </w:pPr>
    <w:rPr>
      <w:rFonts w:ascii="Arial" w:hAnsi="Arial"/>
      <w:sz w:val="20"/>
    </w:rPr>
  </w:style>
  <w:style w:type="paragraph" w:styleId="Heading8">
    <w:name w:val="heading 8"/>
    <w:basedOn w:val="Normal"/>
    <w:next w:val="Normal"/>
    <w:qFormat/>
    <w:rsid w:val="00DA75D1"/>
    <w:pPr>
      <w:numPr>
        <w:ilvl w:val="7"/>
        <w:numId w:val="27"/>
      </w:numPr>
      <w:spacing w:before="240" w:after="60"/>
      <w:outlineLvl w:val="7"/>
    </w:pPr>
    <w:rPr>
      <w:rFonts w:ascii="Arial" w:hAnsi="Arial"/>
      <w:i/>
      <w:sz w:val="20"/>
    </w:rPr>
  </w:style>
  <w:style w:type="paragraph" w:styleId="Heading9">
    <w:name w:val="heading 9"/>
    <w:basedOn w:val="Normal"/>
    <w:next w:val="Normal"/>
    <w:qFormat/>
    <w:rsid w:val="00DA75D1"/>
    <w:pPr>
      <w:numPr>
        <w:ilvl w:val="8"/>
        <w:numId w:val="27"/>
      </w:num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DA75D1"/>
  </w:style>
  <w:style w:type="paragraph" w:styleId="DocumentMap">
    <w:name w:val="Document Map"/>
    <w:basedOn w:val="Normal"/>
    <w:semiHidden/>
    <w:rsid w:val="00DA75D1"/>
    <w:pPr>
      <w:shd w:val="clear" w:color="auto" w:fill="000080"/>
    </w:pPr>
    <w:rPr>
      <w:rFonts w:ascii="Tahoma" w:hAnsi="Tahoma"/>
    </w:rPr>
  </w:style>
  <w:style w:type="paragraph" w:customStyle="1" w:styleId="HTMLBody">
    <w:name w:val="HTML Body"/>
    <w:rsid w:val="00DA75D1"/>
    <w:rPr>
      <w:rFonts w:ascii="Courier New" w:hAnsi="Courier New"/>
    </w:rPr>
  </w:style>
  <w:style w:type="paragraph" w:styleId="ListNumber">
    <w:name w:val="List Number"/>
    <w:basedOn w:val="Normal"/>
    <w:rsid w:val="00DA75D1"/>
    <w:pPr>
      <w:numPr>
        <w:numId w:val="4"/>
      </w:numPr>
    </w:pPr>
  </w:style>
  <w:style w:type="paragraph" w:styleId="ListNumber2">
    <w:name w:val="List Number 2"/>
    <w:basedOn w:val="Normal"/>
    <w:rsid w:val="00DA75D1"/>
    <w:pPr>
      <w:numPr>
        <w:numId w:val="5"/>
      </w:numPr>
    </w:pPr>
  </w:style>
  <w:style w:type="paragraph" w:styleId="ListBullet">
    <w:name w:val="List Bullet"/>
    <w:basedOn w:val="Normal"/>
    <w:autoRedefine/>
    <w:rsid w:val="00DA75D1"/>
    <w:pPr>
      <w:numPr>
        <w:numId w:val="8"/>
      </w:numPr>
    </w:pPr>
  </w:style>
  <w:style w:type="paragraph" w:styleId="Caption">
    <w:name w:val="caption"/>
    <w:basedOn w:val="Normal"/>
    <w:next w:val="Normal"/>
    <w:qFormat/>
    <w:rsid w:val="00DA75D1"/>
    <w:pPr>
      <w:spacing w:after="120"/>
    </w:pPr>
    <w:rPr>
      <w:b/>
    </w:rPr>
  </w:style>
  <w:style w:type="paragraph" w:styleId="Footer">
    <w:name w:val="footer"/>
    <w:basedOn w:val="Normal"/>
    <w:rsid w:val="00DA75D1"/>
    <w:pPr>
      <w:tabs>
        <w:tab w:val="center" w:pos="4320"/>
        <w:tab w:val="right" w:pos="8640"/>
      </w:tabs>
    </w:pPr>
  </w:style>
  <w:style w:type="character" w:styleId="PageNumber">
    <w:name w:val="page number"/>
    <w:basedOn w:val="DefaultParagraphFont"/>
    <w:rsid w:val="00DA75D1"/>
    <w:rPr>
      <w:rFonts w:cs="Times New Roman"/>
    </w:rPr>
  </w:style>
  <w:style w:type="paragraph" w:styleId="Header">
    <w:name w:val="header"/>
    <w:basedOn w:val="Normal"/>
    <w:rsid w:val="00DA75D1"/>
    <w:pPr>
      <w:tabs>
        <w:tab w:val="center" w:pos="4320"/>
        <w:tab w:val="right" w:pos="8640"/>
      </w:tabs>
    </w:pPr>
  </w:style>
  <w:style w:type="paragraph" w:styleId="BodyText">
    <w:name w:val="Body Text"/>
    <w:basedOn w:val="Normal"/>
    <w:rsid w:val="00DA75D1"/>
    <w:pPr>
      <w:jc w:val="center"/>
    </w:pPr>
    <w:rPr>
      <w:rFonts w:ascii="Times" w:hAnsi="Times"/>
      <w:sz w:val="40"/>
    </w:rPr>
  </w:style>
  <w:style w:type="paragraph" w:styleId="TableofFigures">
    <w:name w:val="table of figures"/>
    <w:basedOn w:val="Normal"/>
    <w:next w:val="Normal"/>
    <w:semiHidden/>
    <w:rsid w:val="00DA75D1"/>
    <w:pPr>
      <w:spacing w:before="0"/>
      <w:jc w:val="left"/>
    </w:pPr>
    <w:rPr>
      <w:i/>
      <w:iCs/>
      <w:szCs w:val="24"/>
    </w:rPr>
  </w:style>
  <w:style w:type="character" w:styleId="Hyperlink">
    <w:name w:val="Hyperlink"/>
    <w:basedOn w:val="DefaultParagraphFont"/>
    <w:rsid w:val="00DA75D1"/>
    <w:rPr>
      <w:rFonts w:cs="Times New Roman"/>
      <w:color w:val="0000FF"/>
      <w:u w:val="single"/>
    </w:rPr>
  </w:style>
  <w:style w:type="paragraph" w:styleId="TOC1">
    <w:name w:val="toc 1"/>
    <w:basedOn w:val="Normal"/>
    <w:next w:val="Normal"/>
    <w:autoRedefine/>
    <w:uiPriority w:val="39"/>
    <w:rsid w:val="00DA75D1"/>
    <w:pPr>
      <w:jc w:val="left"/>
    </w:pPr>
    <w:rPr>
      <w:rFonts w:asciiTheme="minorHAnsi" w:hAnsiTheme="minorHAnsi"/>
      <w:b/>
      <w:szCs w:val="24"/>
    </w:rPr>
  </w:style>
  <w:style w:type="paragraph" w:styleId="TOC2">
    <w:name w:val="toc 2"/>
    <w:basedOn w:val="Normal"/>
    <w:next w:val="Normal"/>
    <w:autoRedefine/>
    <w:uiPriority w:val="39"/>
    <w:rsid w:val="00DA75D1"/>
    <w:pPr>
      <w:spacing w:before="0"/>
      <w:ind w:left="240"/>
      <w:jc w:val="left"/>
    </w:pPr>
    <w:rPr>
      <w:rFonts w:asciiTheme="minorHAnsi" w:hAnsiTheme="minorHAnsi"/>
      <w:b/>
      <w:sz w:val="22"/>
      <w:szCs w:val="22"/>
    </w:rPr>
  </w:style>
  <w:style w:type="paragraph" w:styleId="TOC3">
    <w:name w:val="toc 3"/>
    <w:basedOn w:val="Normal"/>
    <w:next w:val="Normal"/>
    <w:autoRedefine/>
    <w:semiHidden/>
    <w:rsid w:val="00DA75D1"/>
    <w:pPr>
      <w:spacing w:before="0"/>
      <w:ind w:left="480"/>
      <w:jc w:val="left"/>
    </w:pPr>
    <w:rPr>
      <w:rFonts w:asciiTheme="minorHAnsi" w:hAnsiTheme="minorHAnsi"/>
      <w:sz w:val="22"/>
      <w:szCs w:val="22"/>
    </w:rPr>
  </w:style>
  <w:style w:type="paragraph" w:styleId="TOC4">
    <w:name w:val="toc 4"/>
    <w:basedOn w:val="Normal"/>
    <w:next w:val="Normal"/>
    <w:autoRedefine/>
    <w:semiHidden/>
    <w:rsid w:val="00DA75D1"/>
    <w:pPr>
      <w:spacing w:before="0"/>
      <w:ind w:left="720"/>
      <w:jc w:val="left"/>
    </w:pPr>
    <w:rPr>
      <w:rFonts w:asciiTheme="minorHAnsi" w:hAnsiTheme="minorHAnsi"/>
      <w:sz w:val="20"/>
    </w:rPr>
  </w:style>
  <w:style w:type="paragraph" w:styleId="TOC5">
    <w:name w:val="toc 5"/>
    <w:basedOn w:val="Normal"/>
    <w:next w:val="Normal"/>
    <w:autoRedefine/>
    <w:semiHidden/>
    <w:rsid w:val="00DA75D1"/>
    <w:pPr>
      <w:spacing w:before="0"/>
      <w:ind w:left="960"/>
      <w:jc w:val="left"/>
    </w:pPr>
    <w:rPr>
      <w:rFonts w:asciiTheme="minorHAnsi" w:hAnsiTheme="minorHAnsi"/>
      <w:sz w:val="20"/>
    </w:rPr>
  </w:style>
  <w:style w:type="paragraph" w:styleId="TOC6">
    <w:name w:val="toc 6"/>
    <w:basedOn w:val="Normal"/>
    <w:next w:val="Normal"/>
    <w:autoRedefine/>
    <w:semiHidden/>
    <w:rsid w:val="00DA75D1"/>
    <w:pPr>
      <w:spacing w:before="0"/>
      <w:ind w:left="1200"/>
      <w:jc w:val="left"/>
    </w:pPr>
    <w:rPr>
      <w:rFonts w:asciiTheme="minorHAnsi" w:hAnsiTheme="minorHAnsi"/>
      <w:sz w:val="20"/>
    </w:rPr>
  </w:style>
  <w:style w:type="paragraph" w:styleId="TOC7">
    <w:name w:val="toc 7"/>
    <w:basedOn w:val="Normal"/>
    <w:next w:val="Normal"/>
    <w:autoRedefine/>
    <w:semiHidden/>
    <w:rsid w:val="00DA75D1"/>
    <w:pPr>
      <w:spacing w:before="0"/>
      <w:ind w:left="1440"/>
      <w:jc w:val="left"/>
    </w:pPr>
    <w:rPr>
      <w:rFonts w:asciiTheme="minorHAnsi" w:hAnsiTheme="minorHAnsi"/>
      <w:sz w:val="20"/>
    </w:rPr>
  </w:style>
  <w:style w:type="paragraph" w:styleId="TOC8">
    <w:name w:val="toc 8"/>
    <w:basedOn w:val="Normal"/>
    <w:next w:val="Normal"/>
    <w:autoRedefine/>
    <w:semiHidden/>
    <w:rsid w:val="00DA75D1"/>
    <w:pPr>
      <w:spacing w:before="0"/>
      <w:ind w:left="1680"/>
      <w:jc w:val="left"/>
    </w:pPr>
    <w:rPr>
      <w:rFonts w:asciiTheme="minorHAnsi" w:hAnsiTheme="minorHAnsi"/>
      <w:sz w:val="20"/>
    </w:rPr>
  </w:style>
  <w:style w:type="paragraph" w:styleId="TOC9">
    <w:name w:val="toc 9"/>
    <w:basedOn w:val="Normal"/>
    <w:next w:val="Normal"/>
    <w:autoRedefine/>
    <w:semiHidden/>
    <w:rsid w:val="00DA75D1"/>
    <w:pPr>
      <w:spacing w:before="0"/>
      <w:ind w:left="1920"/>
      <w:jc w:val="left"/>
    </w:pPr>
    <w:rPr>
      <w:rFonts w:asciiTheme="minorHAnsi" w:hAnsiTheme="minorHAnsi"/>
      <w:sz w:val="20"/>
    </w:rPr>
  </w:style>
  <w:style w:type="paragraph" w:styleId="FootnoteText">
    <w:name w:val="footnote text"/>
    <w:basedOn w:val="Normal"/>
    <w:semiHidden/>
    <w:rsid w:val="00DA75D1"/>
    <w:rPr>
      <w:sz w:val="20"/>
    </w:rPr>
  </w:style>
  <w:style w:type="character" w:styleId="FootnoteReference">
    <w:name w:val="footnote reference"/>
    <w:basedOn w:val="DefaultParagraphFont"/>
    <w:semiHidden/>
    <w:rsid w:val="00DA75D1"/>
    <w:rPr>
      <w:rFonts w:cs="Times New Roman"/>
      <w:vertAlign w:val="superscript"/>
    </w:rPr>
  </w:style>
  <w:style w:type="paragraph" w:styleId="ListParagraph">
    <w:name w:val="List Paragraph"/>
    <w:basedOn w:val="Normal"/>
    <w:uiPriority w:val="34"/>
    <w:qFormat/>
    <w:rsid w:val="00A46D5A"/>
    <w:pPr>
      <w:ind w:left="720"/>
    </w:pPr>
  </w:style>
  <w:style w:type="table" w:customStyle="1" w:styleId="MediumGrid3-Accent31">
    <w:name w:val="Medium Grid 3 - Accent 31"/>
    <w:rsid w:val="00CF09C5"/>
    <w:rPr>
      <w:rFonts w:ascii="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TableGrid">
    <w:name w:val="Table Grid"/>
    <w:basedOn w:val="TableNormal"/>
    <w:rsid w:val="00CF09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Accent11">
    <w:name w:val="Light Grid - Accent 11"/>
    <w:rsid w:val="00B74455"/>
    <w:rPr>
      <w:rFonts w:ascii="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Times New Roman" w:eastAsia="Times New Roman" w:hAnsi="Times New 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Times New Roman" w:eastAsia="Times New Roman" w:hAnsi="Times New 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
    <w:name w:val="Medium Grid 1 - Accent 11"/>
    <w:rsid w:val="00F75812"/>
    <w:rPr>
      <w:rFonts w:ascii="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styleId="BalloonText">
    <w:name w:val="Balloon Text"/>
    <w:basedOn w:val="Normal"/>
    <w:link w:val="BalloonTextChar"/>
    <w:rsid w:val="00AD0A74"/>
    <w:pPr>
      <w:spacing w:before="0"/>
    </w:pPr>
    <w:rPr>
      <w:rFonts w:ascii="Lucida Grande" w:hAnsi="Lucida Grande"/>
      <w:sz w:val="18"/>
      <w:szCs w:val="18"/>
    </w:rPr>
  </w:style>
  <w:style w:type="character" w:customStyle="1" w:styleId="BalloonTextChar">
    <w:name w:val="Balloon Text Char"/>
    <w:basedOn w:val="DefaultParagraphFont"/>
    <w:link w:val="BalloonText"/>
    <w:rsid w:val="00AD0A74"/>
    <w:rPr>
      <w:rFonts w:ascii="Lucida Grande" w:hAnsi="Lucida Grande"/>
      <w:sz w:val="18"/>
      <w:szCs w:val="18"/>
    </w:rPr>
  </w:style>
  <w:style w:type="paragraph" w:styleId="NormalWeb">
    <w:name w:val="Normal (Web)"/>
    <w:basedOn w:val="Normal"/>
    <w:uiPriority w:val="99"/>
    <w:unhideWhenUsed/>
    <w:rsid w:val="00AD0A74"/>
    <w:pPr>
      <w:spacing w:before="100" w:beforeAutospacing="1" w:after="100" w:afterAutospacing="1"/>
      <w:jc w:val="left"/>
    </w:pPr>
    <w:rPr>
      <w:rFonts w:ascii="Times" w:eastAsiaTheme="minorEastAsia" w:hAnsi="Times"/>
      <w:sz w:val="20"/>
    </w:rPr>
  </w:style>
  <w:style w:type="character" w:styleId="FollowedHyperlink">
    <w:name w:val="FollowedHyperlink"/>
    <w:basedOn w:val="DefaultParagraphFont"/>
    <w:rsid w:val="002540F9"/>
    <w:rPr>
      <w:color w:val="800080" w:themeColor="followedHyperlink"/>
      <w:u w:val="single"/>
    </w:rPr>
  </w:style>
  <w:style w:type="table" w:styleId="LightShading">
    <w:name w:val="Light Shading"/>
    <w:basedOn w:val="TableNormal"/>
    <w:rsid w:val="006F097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rsid w:val="006F097F"/>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TOCHeading">
    <w:name w:val="TOC Heading"/>
    <w:basedOn w:val="Heading1"/>
    <w:next w:val="Normal"/>
    <w:uiPriority w:val="39"/>
    <w:unhideWhenUsed/>
    <w:qFormat/>
    <w:rsid w:val="006213E4"/>
    <w:pPr>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kern w:val="0"/>
      <w:szCs w:val="28"/>
    </w:rPr>
  </w:style>
  <w:style w:type="character" w:styleId="PlaceholderText">
    <w:name w:val="Placeholder Text"/>
    <w:basedOn w:val="DefaultParagraphFont"/>
    <w:rsid w:val="00642113"/>
    <w:rPr>
      <w:color w:val="808080"/>
    </w:rPr>
  </w:style>
  <w:style w:type="table" w:styleId="TableList3">
    <w:name w:val="Table List 3"/>
    <w:basedOn w:val="TableNormal"/>
    <w:rsid w:val="00890AE9"/>
    <w:pPr>
      <w:spacing w:before="120"/>
      <w:jc w:val="center"/>
    </w:pPr>
    <w:tblPr>
      <w:tblInd w:w="0" w:type="dxa"/>
      <w:tblBorders>
        <w:top w:val="single" w:sz="12" w:space="0" w:color="000000"/>
        <w:bottom w:val="single" w:sz="12" w:space="0" w:color="000000"/>
        <w:insideV w:val="single" w:sz="4" w:space="0" w:color="auto"/>
      </w:tblBorders>
      <w:tblCellMar>
        <w:top w:w="0" w:type="dxa"/>
        <w:left w:w="108" w:type="dxa"/>
        <w:bottom w:w="0" w:type="dxa"/>
        <w:right w:w="108" w:type="dxa"/>
      </w:tblCellMar>
    </w:tblPr>
    <w:trPr>
      <w:cantSplit/>
    </w:trPr>
    <w:tcPr>
      <w:shd w:val="clear" w:color="auto" w:fill="auto"/>
      <w:vAlign w:val="center"/>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eSimple2">
    <w:name w:val="Table Simple 2"/>
    <w:basedOn w:val="TableNormal"/>
    <w:rsid w:val="00A57AE2"/>
    <w:pPr>
      <w:spacing w:before="120"/>
      <w:jc w:val="both"/>
    </w:pPr>
    <w:tblPr>
      <w:tblInd w:w="0" w:type="dxa"/>
      <w:tblCellMar>
        <w:top w:w="0" w:type="dxa"/>
        <w:left w:w="108" w:type="dxa"/>
        <w:bottom w:w="0" w:type="dxa"/>
        <w:right w:w="108" w:type="dxa"/>
      </w:tblCellMa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dcc.ligo.org/cgi-bin/private/DocDB/ShowDocument?docid=85496" TargetMode="External"/><Relationship Id="rId20" Type="http://schemas.openxmlformats.org/officeDocument/2006/relationships/image" Target="media/image4.emf"/><Relationship Id="rId21" Type="http://schemas.openxmlformats.org/officeDocument/2006/relationships/image" Target="media/image5.emf"/><Relationship Id="rId22" Type="http://schemas.openxmlformats.org/officeDocument/2006/relationships/image" Target="media/image6.emf"/><Relationship Id="rId23" Type="http://schemas.openxmlformats.org/officeDocument/2006/relationships/image" Target="media/image7.emf"/><Relationship Id="rId24" Type="http://schemas.openxmlformats.org/officeDocument/2006/relationships/image" Target="media/image8.png"/><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header" Target="head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https://dcc.ligo.org/cgi-bin/private/DocDB/ShowDocument?docid=73506" TargetMode="External"/><Relationship Id="rId11" Type="http://schemas.openxmlformats.org/officeDocument/2006/relationships/hyperlink" Target="https://dcc.ligo.org/cgi-bin/private/DocDB/ShowDocument?docid=74178" TargetMode="External"/><Relationship Id="rId12" Type="http://schemas.openxmlformats.org/officeDocument/2006/relationships/hyperlink" Target="https://dcc.ligo.org/cgi-bin/private/DocDB/ShowDocument?docid=75832" TargetMode="External"/><Relationship Id="rId13" Type="http://schemas.openxmlformats.org/officeDocument/2006/relationships/hyperlink" Target="https://dcc.ligo.org/cgi-bin/private/DocDB/ShowDocument?docid=75830" TargetMode="External"/><Relationship Id="rId14" Type="http://schemas.openxmlformats.org/officeDocument/2006/relationships/image" Target="media/image1.emf"/><Relationship Id="rId15" Type="http://schemas.openxmlformats.org/officeDocument/2006/relationships/hyperlink" Target="https://dcc.ligo.org/cgi-bin/private/DocDB/ShowDocument?docid=97788" TargetMode="External"/><Relationship Id="rId16" Type="http://schemas.openxmlformats.org/officeDocument/2006/relationships/image" Target="media/image2.png"/><Relationship Id="rId17" Type="http://schemas.openxmlformats.org/officeDocument/2006/relationships/image" Target="media/image3.emf"/><Relationship Id="rId18" Type="http://schemas.openxmlformats.org/officeDocument/2006/relationships/hyperlink" Target="https://dcc.ligo.org/cgi-bin/private/DocDB/ShowDocument?docid=75481" TargetMode="External"/><Relationship Id="rId19" Type="http://schemas.openxmlformats.org/officeDocument/2006/relationships/hyperlink" Target="https://dcc.ligo.org/cgi-bin/private/DocDB/ShowDocument?docid=77510"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s://awiki.ligo-wa.caltech.edu/aLIGO/PZT_testi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8383C-9C95-EC47-8CD1-A677E1FB2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1096</TotalTime>
  <Pages>18</Pages>
  <Words>4171</Words>
  <Characters>23775</Characters>
  <Application>Microsoft Macintosh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27891</CharactersWithSpaces>
  <SharedDoc>false</SharedDoc>
  <HLinks>
    <vt:vector size="24" baseType="variant">
      <vt:variant>
        <vt:i4>3473464</vt:i4>
      </vt:variant>
      <vt:variant>
        <vt:i4>18</vt:i4>
      </vt:variant>
      <vt:variant>
        <vt:i4>0</vt:i4>
      </vt:variant>
      <vt:variant>
        <vt:i4>5</vt:i4>
      </vt:variant>
      <vt:variant>
        <vt:lpwstr>https://dcc.ligo.org/cgi-bin/private/DocDB/ShowDocument?docid=22578</vt:lpwstr>
      </vt:variant>
      <vt:variant>
        <vt:lpwstr/>
      </vt:variant>
      <vt:variant>
        <vt:i4>3014755</vt:i4>
      </vt:variant>
      <vt:variant>
        <vt:i4>15</vt:i4>
      </vt:variant>
      <vt:variant>
        <vt:i4>0</vt:i4>
      </vt:variant>
      <vt:variant>
        <vt:i4>5</vt:i4>
      </vt:variant>
      <vt:variant>
        <vt:lpwstr>https://dcc.ligo.org/cgi-bin/DocDB/ShowDocument?docid=1625</vt:lpwstr>
      </vt:variant>
      <vt:variant>
        <vt:lpwstr/>
      </vt:variant>
      <vt:variant>
        <vt:i4>3014755</vt:i4>
      </vt:variant>
      <vt:variant>
        <vt:i4>3</vt:i4>
      </vt:variant>
      <vt:variant>
        <vt:i4>0</vt:i4>
      </vt:variant>
      <vt:variant>
        <vt:i4>5</vt:i4>
      </vt:variant>
      <vt:variant>
        <vt:lpwstr>https://dcc.ligo.org/cgi-bin/DocDB/ShowDocument?docid=1625</vt:lpwstr>
      </vt:variant>
      <vt:variant>
        <vt:lpwstr/>
      </vt:variant>
      <vt:variant>
        <vt:i4>3473471</vt:i4>
      </vt:variant>
      <vt:variant>
        <vt:i4>0</vt:i4>
      </vt:variant>
      <vt:variant>
        <vt:i4>0</vt:i4>
      </vt:variant>
      <vt:variant>
        <vt:i4>5</vt:i4>
      </vt:variant>
      <vt:variant>
        <vt:lpwstr>https://dcc.ligo.org/cgi-bin/private/DocDB/ShowDocument?docid=12173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subject/>
  <dc:creator>Matthew Evans</dc:creator>
  <cp:keywords/>
  <dc:description/>
  <cp:lastModifiedBy>Peter Fritschel User</cp:lastModifiedBy>
  <cp:revision>81</cp:revision>
  <cp:lastPrinted>2013-01-25T23:05:00Z</cp:lastPrinted>
  <dcterms:created xsi:type="dcterms:W3CDTF">2013-01-08T16:33:00Z</dcterms:created>
  <dcterms:modified xsi:type="dcterms:W3CDTF">2013-01-25T23:10:00Z</dcterms:modified>
</cp:coreProperties>
</file>